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B0" w:rsidRPr="00BE54E7" w:rsidRDefault="00B548B0" w:rsidP="00B548B0">
      <w:pPr>
        <w:rPr>
          <w:rFonts w:ascii="Times New Roman" w:hAnsi="Times New Roman"/>
          <w:b/>
          <w:bCs/>
          <w:iCs/>
          <w:lang w:val="sr-Latn-RS"/>
        </w:rPr>
      </w:pPr>
      <w:bookmarkStart w:id="0" w:name="_GoBack"/>
      <w:bookmarkEnd w:id="0"/>
      <w:r w:rsidRPr="00BE54E7">
        <w:rPr>
          <w:rFonts w:ascii="Times New Roman" w:hAnsi="Times New Roman"/>
          <w:b/>
          <w:bCs/>
          <w:iCs/>
          <w:lang w:val="sr-Latn-RS"/>
        </w:rPr>
        <w:t xml:space="preserve">Praćenje napretka u oblasti sprečavanja i rešavanja sukoba interesa kod javnih funkcionera i javnih službenika u Republici Srbiji </w:t>
      </w:r>
    </w:p>
    <w:p w:rsidR="00B548B0" w:rsidRPr="00BE54E7" w:rsidRDefault="00B548B0" w:rsidP="00B548B0">
      <w:pPr>
        <w:rPr>
          <w:rFonts w:ascii="Times New Roman" w:hAnsi="Times New Roman"/>
          <w:bCs/>
          <w:i/>
          <w:iCs/>
          <w:lang w:val="sr-Latn-RS"/>
        </w:rPr>
      </w:pPr>
      <w:r w:rsidRPr="00BE54E7">
        <w:rPr>
          <w:rFonts w:ascii="Times New Roman" w:hAnsi="Times New Roman"/>
          <w:bCs/>
          <w:i/>
          <w:iCs/>
          <w:lang w:val="sr-Latn-RS"/>
        </w:rPr>
        <w:t>Glavni nalazi i preporuke zajedničkog istraživanja organizacija Transparentnost Srbija, Beogradski centar za bezbednosnu politiku i Centar za primenjene evropske studije, u okviru koalicije prEUgovor</w:t>
      </w:r>
    </w:p>
    <w:p w:rsidR="00B548B0" w:rsidRPr="00BE54E7" w:rsidRDefault="00B548B0" w:rsidP="00B548B0">
      <w:pPr>
        <w:rPr>
          <w:rFonts w:ascii="Times New Roman" w:hAnsi="Times New Roman"/>
          <w:bCs/>
          <w:i/>
          <w:iCs/>
          <w:lang w:val="sr-Latn-RS"/>
        </w:rPr>
      </w:pPr>
      <w:r w:rsidRPr="00BE54E7">
        <w:rPr>
          <w:rFonts w:ascii="Times New Roman" w:hAnsi="Times New Roman"/>
          <w:bCs/>
          <w:i/>
          <w:iCs/>
          <w:lang w:val="sr-Latn-RS"/>
        </w:rPr>
        <w:t>Beograd, oktobar 2016</w:t>
      </w:r>
    </w:p>
    <w:p w:rsidR="00B548B0" w:rsidRPr="00BE54E7" w:rsidRDefault="00B548B0" w:rsidP="00B548B0">
      <w:pPr>
        <w:jc w:val="both"/>
        <w:rPr>
          <w:rFonts w:ascii="Times New Roman" w:hAnsi="Times New Roman"/>
          <w:bCs/>
          <w:iCs/>
          <w:lang w:val="sr-Latn-RS"/>
        </w:rPr>
      </w:pPr>
      <w:r w:rsidRPr="00BE54E7">
        <w:rPr>
          <w:rFonts w:ascii="Times New Roman" w:hAnsi="Times New Roman"/>
          <w:b/>
          <w:bCs/>
          <w:iCs/>
          <w:lang w:val="sr-Latn-RS"/>
        </w:rPr>
        <w:t xml:space="preserve">Predmet istraživanja: </w:t>
      </w:r>
      <w:r w:rsidRPr="00BE54E7">
        <w:rPr>
          <w:rFonts w:ascii="Times New Roman" w:hAnsi="Times New Roman"/>
          <w:bCs/>
          <w:iCs/>
          <w:lang w:val="sr-Latn-RS"/>
        </w:rPr>
        <w:t>U procesu pridruživanja EU, kao jedna od preporuka Republici Srbiji za efikasniju borbu protiv korupcije, koja je predmet pregovora u okviru poglavlja 23 (pravosuđe i osnovna prava), formulisano je i sledeće: „</w:t>
      </w:r>
      <w:r w:rsidRPr="00BE54E7">
        <w:rPr>
          <w:rFonts w:ascii="Times New Roman" w:hAnsi="Times New Roman"/>
          <w:bCs/>
          <w:i/>
          <w:iCs/>
          <w:lang w:val="sr-Latn-RS"/>
        </w:rPr>
        <w:t xml:space="preserve">Unaprediti zakonski i administrativni okvir za sprečavanje sukoba interesa i postupanje u slučaju kada sukob postoji. Osigurati dobro razumevanje ovog koncepta na svim nivoima.“ </w:t>
      </w:r>
      <w:r w:rsidRPr="00BE54E7">
        <w:rPr>
          <w:rFonts w:ascii="Times New Roman" w:hAnsi="Times New Roman"/>
          <w:bCs/>
          <w:iCs/>
          <w:lang w:val="sr-Latn-RS"/>
        </w:rPr>
        <w:t xml:space="preserve">Ova preporuka je pretočena u tačku 2.2.3. Akcionog plana za to pregovaračko poglavlje i formulisane su aktivnosti koje treba da dovedu do ostvarivanja ovog cilja. Tri organizacije iz koalicije prEUgovor odabrale su da prate ovu temu u okviru istraživanja, zato što ona obuhvata unapređenje normativnog okvira, jačanje institucija, poboljšanje prakse u sprovođenju zakona, i unapređenje znanja i razumevanja teme sukoba interesa. </w:t>
      </w:r>
    </w:p>
    <w:p w:rsidR="00B548B0" w:rsidRPr="00BE54E7" w:rsidRDefault="00B548B0" w:rsidP="00B548B0">
      <w:pPr>
        <w:jc w:val="both"/>
        <w:rPr>
          <w:rFonts w:ascii="Times New Roman" w:hAnsi="Times New Roman"/>
          <w:bCs/>
          <w:iCs/>
          <w:lang w:val="sr-Latn-RS"/>
        </w:rPr>
      </w:pPr>
      <w:r w:rsidRPr="00BE54E7">
        <w:rPr>
          <w:rFonts w:ascii="Times New Roman" w:hAnsi="Times New Roman"/>
          <w:b/>
          <w:bCs/>
          <w:iCs/>
          <w:lang w:val="sr-Latn-RS"/>
        </w:rPr>
        <w:t xml:space="preserve">Strateški akti: </w:t>
      </w:r>
      <w:r w:rsidRPr="00BE54E7">
        <w:rPr>
          <w:rFonts w:ascii="Times New Roman" w:hAnsi="Times New Roman"/>
          <w:bCs/>
          <w:iCs/>
          <w:lang w:val="sr-Latn-RS"/>
        </w:rPr>
        <w:t xml:space="preserve">Aktivnosti u okviru tačke 2.2.3, kao ni u drugim povezanim strateškim aktima koji su bitni za sprečavanje i rešavanje sukoba interesa nisu dovoljno detaljni, precizni i ne pokrivaju sva bitna pitanja, tako da se može dogoditi da sve aktivnosti budu sprovedene a da to ne donese željene rezultate. Štaviše, tokom istraživanja došlo je do kvarenja ovog strateškog okvira, pomeranjem rokova za sprovođenje aktivnosti i smanjenjem obuhvata pojedinih mera koje su planirane u antikorupcijskoj strategiji </w:t>
      </w:r>
      <w:r w:rsidR="000F7A6A" w:rsidRPr="00BE54E7">
        <w:rPr>
          <w:rFonts w:ascii="Times New Roman" w:hAnsi="Times New Roman"/>
          <w:bCs/>
          <w:iCs/>
          <w:lang w:val="sr-Latn-RS"/>
        </w:rPr>
        <w:t xml:space="preserve">iz </w:t>
      </w:r>
      <w:r w:rsidRPr="00BE54E7">
        <w:rPr>
          <w:rFonts w:ascii="Times New Roman" w:hAnsi="Times New Roman"/>
          <w:bCs/>
          <w:iCs/>
          <w:lang w:val="sr-Latn-RS"/>
        </w:rPr>
        <w:t>2013. To kao posledicu ima izostavljanje zaposlenih u javnom sektoru van administracije (javne službe, ustanove k</w:t>
      </w:r>
      <w:r w:rsidR="000F7A6A" w:rsidRPr="00BE54E7">
        <w:rPr>
          <w:rFonts w:ascii="Times New Roman" w:hAnsi="Times New Roman"/>
          <w:bCs/>
          <w:iCs/>
          <w:lang w:val="sr-Latn-RS"/>
        </w:rPr>
        <w:t>ulture, zdravstva i obrazovanja</w:t>
      </w:r>
      <w:r w:rsidRPr="00BE54E7">
        <w:rPr>
          <w:rFonts w:ascii="Times New Roman" w:hAnsi="Times New Roman"/>
          <w:bCs/>
          <w:iCs/>
          <w:lang w:val="sr-Latn-RS"/>
        </w:rPr>
        <w:t xml:space="preserve">, javna preduzeća, preduzeća u javnoj svojini) </w:t>
      </w:r>
      <w:r w:rsidR="000F7A6A" w:rsidRPr="00BE54E7">
        <w:rPr>
          <w:rFonts w:ascii="Times New Roman" w:hAnsi="Times New Roman"/>
          <w:bCs/>
          <w:iCs/>
          <w:lang w:val="sr-Latn-RS"/>
        </w:rPr>
        <w:t>iz</w:t>
      </w:r>
      <w:r w:rsidRPr="00BE54E7">
        <w:rPr>
          <w:rFonts w:ascii="Times New Roman" w:hAnsi="Times New Roman"/>
          <w:bCs/>
          <w:iCs/>
          <w:lang w:val="sr-Latn-RS"/>
        </w:rPr>
        <w:t xml:space="preserve"> domašaja planiranih mera.</w:t>
      </w:r>
      <w:r w:rsidR="00933109" w:rsidRPr="00BE54E7">
        <w:rPr>
          <w:rFonts w:ascii="Times New Roman" w:hAnsi="Times New Roman"/>
          <w:bCs/>
          <w:iCs/>
          <w:lang w:val="sr-Latn-RS"/>
        </w:rPr>
        <w:t xml:space="preserve"> </w:t>
      </w:r>
      <w:r w:rsidRPr="00BE54E7">
        <w:rPr>
          <w:rFonts w:ascii="Times New Roman" w:hAnsi="Times New Roman"/>
          <w:bCs/>
          <w:iCs/>
          <w:lang w:val="sr-Latn-RS"/>
        </w:rPr>
        <w:t xml:space="preserve">Zbog toga se preporučuje dopuna AP za poglavlje 23, AP za sprovođenje antikorupcijske strategije i drugih povezanih strateških akata, kako bi se </w:t>
      </w:r>
      <w:r w:rsidR="00933109" w:rsidRPr="00BE54E7">
        <w:rPr>
          <w:rFonts w:ascii="Times New Roman" w:hAnsi="Times New Roman"/>
          <w:bCs/>
          <w:iCs/>
          <w:lang w:val="sr-Latn-RS"/>
        </w:rPr>
        <w:t xml:space="preserve">stvorili uslovi da se </w:t>
      </w:r>
      <w:r w:rsidRPr="00BE54E7">
        <w:rPr>
          <w:rFonts w:ascii="Times New Roman" w:hAnsi="Times New Roman"/>
          <w:bCs/>
          <w:iCs/>
          <w:lang w:val="sr-Latn-RS"/>
        </w:rPr>
        <w:t>oblast su</w:t>
      </w:r>
      <w:r w:rsidR="00933109" w:rsidRPr="00BE54E7">
        <w:rPr>
          <w:rFonts w:ascii="Times New Roman" w:hAnsi="Times New Roman"/>
          <w:bCs/>
          <w:iCs/>
          <w:lang w:val="sr-Latn-RS"/>
        </w:rPr>
        <w:t>koba interesa normativno uredi</w:t>
      </w:r>
      <w:r w:rsidRPr="00BE54E7">
        <w:rPr>
          <w:rFonts w:ascii="Times New Roman" w:hAnsi="Times New Roman"/>
          <w:bCs/>
          <w:iCs/>
          <w:lang w:val="sr-Latn-RS"/>
        </w:rPr>
        <w:t xml:space="preserve"> na sveobuhvatniji i efikasniji način, </w:t>
      </w:r>
      <w:r w:rsidR="00933109" w:rsidRPr="00BE54E7">
        <w:rPr>
          <w:rFonts w:ascii="Times New Roman" w:hAnsi="Times New Roman"/>
          <w:bCs/>
          <w:iCs/>
          <w:lang w:val="sr-Latn-RS"/>
        </w:rPr>
        <w:t>da institucije dobiju</w:t>
      </w:r>
      <w:r w:rsidRPr="00BE54E7">
        <w:rPr>
          <w:rFonts w:ascii="Times New Roman" w:hAnsi="Times New Roman"/>
          <w:bCs/>
          <w:iCs/>
          <w:lang w:val="sr-Latn-RS"/>
        </w:rPr>
        <w:t xml:space="preserve"> potrebna ovlašćenja i resurse za obavljanje zakonskih zadataka i kako bi se javni funkcioneri, zaposleni u javnom sektoru i građani na pravi način upoznali sa sprečavanjem i rešavanjem sukoba javnog i privatnog interesa. </w:t>
      </w:r>
    </w:p>
    <w:p w:rsidR="00B548B0" w:rsidRPr="00BE54E7" w:rsidRDefault="00B548B0" w:rsidP="00B548B0">
      <w:pPr>
        <w:jc w:val="both"/>
        <w:rPr>
          <w:rFonts w:ascii="Times New Roman" w:hAnsi="Times New Roman"/>
          <w:bCs/>
          <w:iCs/>
          <w:lang w:val="sr-Latn-RS"/>
        </w:rPr>
      </w:pPr>
      <w:r w:rsidRPr="00BE54E7">
        <w:rPr>
          <w:rFonts w:ascii="Times New Roman" w:hAnsi="Times New Roman"/>
          <w:b/>
          <w:bCs/>
          <w:iCs/>
          <w:lang w:val="sr-Latn-RS"/>
        </w:rPr>
        <w:t xml:space="preserve">Pravni okvir: </w:t>
      </w:r>
      <w:r w:rsidRPr="00BE54E7">
        <w:rPr>
          <w:rFonts w:ascii="Times New Roman" w:hAnsi="Times New Roman"/>
          <w:bCs/>
          <w:iCs/>
          <w:lang w:val="sr-Latn-RS"/>
        </w:rPr>
        <w:t>Pravni okvir za sprečavanje i rešavanje sukoba interesa čine brojni akti, počev od Ustava, preko procesnih zakona, Zakona o Agenciji za borbu protiv korupcije, sektorskih zakona</w:t>
      </w:r>
      <w:r w:rsidR="00933109" w:rsidRPr="00BE54E7">
        <w:rPr>
          <w:rFonts w:ascii="Times New Roman" w:hAnsi="Times New Roman"/>
          <w:bCs/>
          <w:iCs/>
          <w:lang w:val="sr-Latn-RS"/>
        </w:rPr>
        <w:t xml:space="preserve"> (npr. o policiji, javnim nabavkama)</w:t>
      </w:r>
      <w:r w:rsidRPr="00BE54E7">
        <w:rPr>
          <w:rFonts w:ascii="Times New Roman" w:hAnsi="Times New Roman"/>
          <w:bCs/>
          <w:iCs/>
          <w:lang w:val="sr-Latn-RS"/>
        </w:rPr>
        <w:t xml:space="preserve"> do pravilnika i etičkih kodeksa. </w:t>
      </w:r>
      <w:r w:rsidR="00933109" w:rsidRPr="00BE54E7">
        <w:rPr>
          <w:rFonts w:ascii="Times New Roman" w:hAnsi="Times New Roman"/>
          <w:bCs/>
          <w:iCs/>
          <w:lang w:val="sr-Latn-RS"/>
        </w:rPr>
        <w:t xml:space="preserve">Pravni okvir se </w:t>
      </w:r>
      <w:r w:rsidRPr="00BE54E7">
        <w:rPr>
          <w:rFonts w:ascii="Times New Roman" w:hAnsi="Times New Roman"/>
          <w:bCs/>
          <w:iCs/>
          <w:lang w:val="sr-Latn-RS"/>
        </w:rPr>
        <w:t xml:space="preserve">stalno razvija, </w:t>
      </w:r>
      <w:r w:rsidR="00933109" w:rsidRPr="00BE54E7">
        <w:rPr>
          <w:rFonts w:ascii="Times New Roman" w:hAnsi="Times New Roman"/>
          <w:bCs/>
          <w:iCs/>
          <w:lang w:val="sr-Latn-RS"/>
        </w:rPr>
        <w:t xml:space="preserve">ali nije ni sveobuhvatan ni </w:t>
      </w:r>
      <w:r w:rsidRPr="00BE54E7">
        <w:rPr>
          <w:rFonts w:ascii="Times New Roman" w:hAnsi="Times New Roman"/>
          <w:bCs/>
          <w:iCs/>
          <w:lang w:val="sr-Latn-RS"/>
        </w:rPr>
        <w:t xml:space="preserve">dosledan. </w:t>
      </w:r>
      <w:r w:rsidR="00933109" w:rsidRPr="00BE54E7">
        <w:rPr>
          <w:rFonts w:ascii="Times New Roman" w:hAnsi="Times New Roman"/>
          <w:bCs/>
          <w:iCs/>
          <w:lang w:val="sr-Latn-RS"/>
        </w:rPr>
        <w:t>M</w:t>
      </w:r>
      <w:r w:rsidRPr="00BE54E7">
        <w:rPr>
          <w:rFonts w:ascii="Times New Roman" w:hAnsi="Times New Roman"/>
          <w:bCs/>
          <w:iCs/>
          <w:lang w:val="sr-Latn-RS"/>
        </w:rPr>
        <w:t xml:space="preserve">ere za sprečavanje sukoba interesa ne </w:t>
      </w:r>
      <w:r w:rsidR="008B3B0E" w:rsidRPr="00BE54E7">
        <w:rPr>
          <w:rFonts w:ascii="Times New Roman" w:hAnsi="Times New Roman"/>
          <w:bCs/>
          <w:iCs/>
          <w:lang w:val="sr-Latn-RS"/>
        </w:rPr>
        <w:t>obuhvataju</w:t>
      </w:r>
      <w:r w:rsidRPr="00BE54E7">
        <w:rPr>
          <w:rFonts w:ascii="Times New Roman" w:hAnsi="Times New Roman"/>
          <w:bCs/>
          <w:iCs/>
          <w:lang w:val="sr-Latn-RS"/>
        </w:rPr>
        <w:t xml:space="preserve"> sve zaposlene u javnom sektoru, pravila su u nekim slučajevima nedovoljna i podležu arbitrernoj oceni samog funkcionera/službenika i</w:t>
      </w:r>
      <w:r w:rsidR="00933109" w:rsidRPr="00BE54E7">
        <w:rPr>
          <w:rFonts w:ascii="Times New Roman" w:hAnsi="Times New Roman"/>
          <w:bCs/>
          <w:iCs/>
          <w:lang w:val="sr-Latn-RS"/>
        </w:rPr>
        <w:t>li nadzornog organa, a u drugim</w:t>
      </w:r>
      <w:r w:rsidRPr="00BE54E7">
        <w:rPr>
          <w:rFonts w:ascii="Times New Roman" w:hAnsi="Times New Roman"/>
          <w:bCs/>
          <w:iCs/>
          <w:lang w:val="sr-Latn-RS"/>
        </w:rPr>
        <w:t xml:space="preserve"> previše rigidna</w:t>
      </w:r>
      <w:r w:rsidR="00933109" w:rsidRPr="00BE54E7">
        <w:rPr>
          <w:rFonts w:ascii="Times New Roman" w:hAnsi="Times New Roman"/>
          <w:bCs/>
          <w:iCs/>
          <w:lang w:val="sr-Latn-RS"/>
        </w:rPr>
        <w:t xml:space="preserve"> i ometaju rad organa vlasti</w:t>
      </w:r>
      <w:r w:rsidRPr="00BE54E7">
        <w:rPr>
          <w:rFonts w:ascii="Times New Roman" w:hAnsi="Times New Roman"/>
          <w:bCs/>
          <w:iCs/>
          <w:lang w:val="sr-Latn-RS"/>
        </w:rPr>
        <w:t xml:space="preserve">. Mere za rešavanje sukoba interesa nisu u potpunosti razvijene, kao ni pravila o kontroli i sankcionisanju. Tokom istraživanja je došlo do određenih poboljšanja pravnog okvira, ali ne na planirani način, tako da problemi nisu rešeni. Naročiti problem predstavlja činjenica da nije izmenjen Zakon o Agenciji za borbu protiv korupcije. Preporučuje se da se ovaj zakon izmeni i to tako da reši sve probleme koji su identifikovani u praksi, što podrazumeva i značajne intervencije na aktuelnom nacrtu, koji je objavljen krajem septembra 2016. Takođe, pitanje sukoba interesa treba imati na umu i pri izmenama Ustava i </w:t>
      </w:r>
      <w:r w:rsidRPr="00BE54E7">
        <w:rPr>
          <w:rFonts w:ascii="Times New Roman" w:hAnsi="Times New Roman"/>
          <w:bCs/>
          <w:iCs/>
          <w:lang w:val="sr-Latn-RS"/>
        </w:rPr>
        <w:lastRenderedPageBreak/>
        <w:t>brojnih drugih propisa, kao i ispunjavanja međunarodnih obaveza iz četvrtog kruga evaluacije GRECO (rok do kraja 2016), u čijem fokusu su sudije, tužioci i narodni poslanici.</w:t>
      </w:r>
    </w:p>
    <w:p w:rsidR="00B548B0" w:rsidRPr="00BE54E7" w:rsidRDefault="00B548B0" w:rsidP="00B548B0">
      <w:pPr>
        <w:jc w:val="both"/>
        <w:rPr>
          <w:rFonts w:ascii="Times New Roman" w:hAnsi="Times New Roman"/>
          <w:bCs/>
          <w:iCs/>
          <w:lang w:val="sr-Latn-RS"/>
        </w:rPr>
      </w:pPr>
      <w:r w:rsidRPr="00BE54E7">
        <w:rPr>
          <w:rFonts w:ascii="Times New Roman" w:hAnsi="Times New Roman"/>
          <w:b/>
          <w:bCs/>
          <w:iCs/>
          <w:lang w:val="sr-Latn-RS"/>
        </w:rPr>
        <w:t xml:space="preserve">Institucije: </w:t>
      </w:r>
      <w:r w:rsidRPr="00BE54E7">
        <w:rPr>
          <w:rFonts w:ascii="Times New Roman" w:hAnsi="Times New Roman"/>
          <w:bCs/>
          <w:iCs/>
          <w:lang w:val="sr-Latn-RS"/>
        </w:rPr>
        <w:t>Za primenu pravila o sprečavanju i re</w:t>
      </w:r>
      <w:r w:rsidR="008B3B0E" w:rsidRPr="00BE54E7">
        <w:rPr>
          <w:rFonts w:ascii="Times New Roman" w:hAnsi="Times New Roman"/>
          <w:bCs/>
          <w:iCs/>
          <w:lang w:val="sr-Latn-RS"/>
        </w:rPr>
        <w:t>šavanju sukoba interesa zadužena je</w:t>
      </w:r>
      <w:r w:rsidRPr="00BE54E7">
        <w:rPr>
          <w:rFonts w:ascii="Times New Roman" w:hAnsi="Times New Roman"/>
          <w:bCs/>
          <w:iCs/>
          <w:lang w:val="sr-Latn-RS"/>
        </w:rPr>
        <w:t xml:space="preserve"> Agencija za borbu protiv</w:t>
      </w:r>
      <w:r w:rsidR="008B3B0E" w:rsidRPr="00BE54E7">
        <w:rPr>
          <w:rFonts w:ascii="Times New Roman" w:hAnsi="Times New Roman"/>
          <w:bCs/>
          <w:iCs/>
          <w:lang w:val="sr-Latn-RS"/>
        </w:rPr>
        <w:t xml:space="preserve"> korupcije, ali i brojni drugi </w:t>
      </w:r>
      <w:r w:rsidRPr="00BE54E7">
        <w:rPr>
          <w:rFonts w:ascii="Times New Roman" w:hAnsi="Times New Roman"/>
          <w:bCs/>
          <w:iCs/>
          <w:lang w:val="sr-Latn-RS"/>
        </w:rPr>
        <w:t>organ</w:t>
      </w:r>
      <w:r w:rsidR="008B3B0E" w:rsidRPr="00BE54E7">
        <w:rPr>
          <w:rFonts w:ascii="Times New Roman" w:hAnsi="Times New Roman"/>
          <w:bCs/>
          <w:iCs/>
          <w:lang w:val="sr-Latn-RS"/>
        </w:rPr>
        <w:t xml:space="preserve">i (npr. Visoki savet sudstva, Visoki službenički savet), pojedinci </w:t>
      </w:r>
      <w:r w:rsidRPr="00BE54E7">
        <w:rPr>
          <w:rFonts w:ascii="Times New Roman" w:hAnsi="Times New Roman"/>
          <w:bCs/>
          <w:iCs/>
          <w:lang w:val="sr-Latn-RS"/>
        </w:rPr>
        <w:t>i i službe unutar institucija (npr. „neposredno pretpostavljeni“, „rukovodilac organa“</w:t>
      </w:r>
      <w:r w:rsidR="008B3B0E" w:rsidRPr="00BE54E7">
        <w:rPr>
          <w:rFonts w:ascii="Times New Roman" w:hAnsi="Times New Roman"/>
          <w:bCs/>
          <w:iCs/>
          <w:lang w:val="sr-Latn-RS"/>
        </w:rPr>
        <w:t>, „sektor unutrašnje kontrole“</w:t>
      </w:r>
      <w:r w:rsidRPr="00BE54E7">
        <w:rPr>
          <w:rFonts w:ascii="Times New Roman" w:hAnsi="Times New Roman"/>
          <w:bCs/>
          <w:iCs/>
          <w:lang w:val="sr-Latn-RS"/>
        </w:rPr>
        <w:t xml:space="preserve"> i slično). Iako je </w:t>
      </w:r>
      <w:r w:rsidR="008B3B0E" w:rsidRPr="00BE54E7">
        <w:rPr>
          <w:rFonts w:ascii="Times New Roman" w:hAnsi="Times New Roman"/>
          <w:bCs/>
          <w:iCs/>
          <w:lang w:val="sr-Latn-RS"/>
        </w:rPr>
        <w:t xml:space="preserve">u strateškim aktima </w:t>
      </w:r>
      <w:r w:rsidRPr="00BE54E7">
        <w:rPr>
          <w:rFonts w:ascii="Times New Roman" w:hAnsi="Times New Roman"/>
          <w:bCs/>
          <w:iCs/>
          <w:lang w:val="sr-Latn-RS"/>
        </w:rPr>
        <w:t>uočena potreba za unapređenjem kapaciteta Agencije i drugih organa, do toga n</w:t>
      </w:r>
      <w:r w:rsidR="008B3B0E" w:rsidRPr="00BE54E7">
        <w:rPr>
          <w:rFonts w:ascii="Times New Roman" w:hAnsi="Times New Roman"/>
          <w:bCs/>
          <w:iCs/>
          <w:lang w:val="sr-Latn-RS"/>
        </w:rPr>
        <w:t>ije došlo u značajnijom meri</w:t>
      </w:r>
      <w:r w:rsidRPr="00BE54E7">
        <w:rPr>
          <w:rFonts w:ascii="Times New Roman" w:hAnsi="Times New Roman"/>
          <w:bCs/>
          <w:iCs/>
          <w:lang w:val="sr-Latn-RS"/>
        </w:rPr>
        <w:t>. Ovlašćenja Agencije nisu dovoljna za optimalni nivo efikasnog postupanja</w:t>
      </w:r>
      <w:r w:rsidR="008B3B0E" w:rsidRPr="00BE54E7">
        <w:rPr>
          <w:rFonts w:ascii="Times New Roman" w:hAnsi="Times New Roman"/>
          <w:bCs/>
          <w:iCs/>
          <w:lang w:val="sr-Latn-RS"/>
        </w:rPr>
        <w:t>, kao ni resursi kojima raspolaže. V</w:t>
      </w:r>
      <w:r w:rsidRPr="00BE54E7">
        <w:rPr>
          <w:rFonts w:ascii="Times New Roman" w:hAnsi="Times New Roman"/>
          <w:bCs/>
          <w:iCs/>
          <w:lang w:val="sr-Latn-RS"/>
        </w:rPr>
        <w:t xml:space="preserve">eliki problem predstavlja to što nema vidljivog napretka u pogledu jačanja institucionalnog okvira za sprečavanje i rešavanje sukoba interesa kod javnih službenika, kao ni onog koji se odnosi na specifične postupke (npr. </w:t>
      </w:r>
      <w:r w:rsidR="008B3B0E" w:rsidRPr="00BE54E7">
        <w:rPr>
          <w:rFonts w:ascii="Times New Roman" w:hAnsi="Times New Roman"/>
          <w:bCs/>
          <w:iCs/>
          <w:lang w:val="sr-Latn-RS"/>
        </w:rPr>
        <w:t xml:space="preserve">za </w:t>
      </w:r>
      <w:r w:rsidRPr="00BE54E7">
        <w:rPr>
          <w:rFonts w:ascii="Times New Roman" w:hAnsi="Times New Roman"/>
          <w:bCs/>
          <w:iCs/>
          <w:lang w:val="sr-Latn-RS"/>
        </w:rPr>
        <w:t xml:space="preserve">javne nabavke). Zato je potrebno jasnije definisati nadležnosti Agencije, obezbediti da broj zaposlenih odgovara zadacima koje treba da obavi, da bude adekvatno povezana sa drugim državnim organima i da se pravovremeno postupa po njenim izveštajima, prijavama i preporukama. U pogledu sprečavanja i rešavanja sukoba interesa kod zaposlenih u javnom sektoru, treba jasno propisati ko je odgovoran da proverava poštovanje pravila i utvrditi savetodavnu ili nadzornu ulogu Agencije, radi postizanja veće doslednosti postupanja. </w:t>
      </w:r>
    </w:p>
    <w:p w:rsidR="00884B40" w:rsidRPr="00BE54E7" w:rsidRDefault="00B548B0" w:rsidP="00884B40">
      <w:pPr>
        <w:jc w:val="both"/>
        <w:rPr>
          <w:rFonts w:ascii="Times New Roman" w:hAnsi="Times New Roman"/>
          <w:bCs/>
          <w:iCs/>
          <w:lang w:val="sr-Cyrl-RS"/>
        </w:rPr>
      </w:pPr>
      <w:r w:rsidRPr="00BE54E7">
        <w:rPr>
          <w:rFonts w:ascii="Times New Roman" w:hAnsi="Times New Roman"/>
          <w:b/>
          <w:bCs/>
          <w:iCs/>
          <w:lang w:val="sr-Latn-RS"/>
        </w:rPr>
        <w:t xml:space="preserve">Dobro razumevanje: </w:t>
      </w:r>
      <w:r w:rsidRPr="00BE54E7">
        <w:rPr>
          <w:rFonts w:ascii="Times New Roman" w:hAnsi="Times New Roman"/>
          <w:bCs/>
          <w:iCs/>
          <w:lang w:val="sr-Latn-RS"/>
        </w:rPr>
        <w:t>Sukob interesa se često izjednačava ili meša sa drugim sličnim pojavama poput kumulacije javnih funkcija, neprijavljivanja imovine, vršenja javne funkcije i vlasništva nad privatnim p</w:t>
      </w:r>
      <w:r w:rsidR="00506F9D" w:rsidRPr="00BE54E7">
        <w:rPr>
          <w:rFonts w:ascii="Times New Roman" w:hAnsi="Times New Roman"/>
          <w:bCs/>
          <w:iCs/>
          <w:lang w:val="sr-Latn-RS"/>
        </w:rPr>
        <w:t>rivrednim subjektom ili zloupotrebom</w:t>
      </w:r>
      <w:r w:rsidRPr="00BE54E7">
        <w:rPr>
          <w:rFonts w:ascii="Times New Roman" w:hAnsi="Times New Roman"/>
          <w:bCs/>
          <w:iCs/>
          <w:lang w:val="sr-Latn-RS"/>
        </w:rPr>
        <w:t xml:space="preserve"> javne funkcije. Problem u razumevanju nastaje i usled toga što se sukob interesa drugačije definiše u raznim propisima i što su za primenu normi o sprečavanju i rešavanju sukoba interesa nadležni različiti organi, a da pri tom nije utvrđena ni „krovna“ nadležnost jednog od njih (npr. Agencije za borbu protiv korupcije). Zbog toga je potrebno uskladiti definicije „sukoba interesa“ u različitim aktima u kojima se on pominje (pre svega u Zakonu o Agenciji za borbu protiv korupcije i u Zakonu o javnim nabavkama) i obezbediti da se ne poklapaju nadle</w:t>
      </w:r>
      <w:r w:rsidRPr="00BE54E7">
        <w:rPr>
          <w:rFonts w:ascii="Times New Roman" w:hAnsi="Times New Roman"/>
          <w:bCs/>
          <w:iCs/>
          <w:lang w:val="sr-Latn-CS"/>
        </w:rPr>
        <w:t xml:space="preserve">žnosti između različitih organa koji imaju mandat da se bave rešavanjem sukoba interesa. </w:t>
      </w:r>
      <w:r w:rsidR="00884B40" w:rsidRPr="00BE54E7">
        <w:rPr>
          <w:rFonts w:ascii="Times New Roman" w:hAnsi="Times New Roman"/>
          <w:bCs/>
          <w:iCs/>
          <w:lang w:val="sr-Latn-CS"/>
        </w:rPr>
        <w:t xml:space="preserve">Pošto se najveći broj </w:t>
      </w:r>
      <w:r w:rsidR="00884B40" w:rsidRPr="00BE54E7">
        <w:rPr>
          <w:rFonts w:ascii="Times New Roman" w:hAnsi="Times New Roman"/>
          <w:bCs/>
          <w:iCs/>
          <w:lang w:val="sr-Latn-RS"/>
        </w:rPr>
        <w:t>utvrđenih slučajeva nepotizma i poslovanja sa privrednim subjektim</w:t>
      </w:r>
      <w:r w:rsidR="00884B40" w:rsidRPr="00BE54E7">
        <w:rPr>
          <w:rFonts w:ascii="Times New Roman" w:hAnsi="Times New Roman"/>
          <w:bCs/>
          <w:iCs/>
          <w:lang w:val="sr-Latn-RS"/>
        </w:rPr>
        <w:t>a u vlasništvu povezanih lica</w:t>
      </w:r>
      <w:r w:rsidR="00884B40" w:rsidRPr="00BE54E7">
        <w:rPr>
          <w:rFonts w:ascii="Times New Roman" w:hAnsi="Times New Roman"/>
          <w:bCs/>
          <w:iCs/>
          <w:lang w:val="sr-Latn-RS"/>
        </w:rPr>
        <w:t xml:space="preserve"> de</w:t>
      </w:r>
      <w:r w:rsidR="00884B40" w:rsidRPr="00BE54E7">
        <w:rPr>
          <w:rFonts w:ascii="Times New Roman" w:hAnsi="Times New Roman"/>
          <w:bCs/>
          <w:iCs/>
          <w:lang w:val="sr-Latn-RS"/>
        </w:rPr>
        <w:t>šava na lokalnom nivou, p</w:t>
      </w:r>
      <w:r w:rsidR="00884B40" w:rsidRPr="00BE54E7">
        <w:rPr>
          <w:rFonts w:ascii="Times New Roman" w:hAnsi="Times New Roman"/>
          <w:bCs/>
          <w:iCs/>
          <w:lang w:val="sr-Latn-RS"/>
        </w:rPr>
        <w:t xml:space="preserve">otrebno je uvesti kontinuirane obuke lokalnih javnih funkcionera, javnih službenika i odbornika lokalnih skupština, posebno </w:t>
      </w:r>
      <w:r w:rsidR="00884B40" w:rsidRPr="00BE54E7">
        <w:rPr>
          <w:rFonts w:ascii="Times New Roman" w:hAnsi="Times New Roman"/>
          <w:bCs/>
          <w:iCs/>
          <w:lang w:val="sr-Latn-RS"/>
        </w:rPr>
        <w:t>kroz rad e</w:t>
      </w:r>
      <w:r w:rsidR="00884B40" w:rsidRPr="00BE54E7">
        <w:rPr>
          <w:rFonts w:ascii="Times New Roman" w:hAnsi="Times New Roman"/>
          <w:bCs/>
          <w:iCs/>
          <w:lang w:val="sr-Latn-RS"/>
        </w:rPr>
        <w:t xml:space="preserve">tičkih odbora </w:t>
      </w:r>
      <w:r w:rsidR="00884B40" w:rsidRPr="00BE54E7">
        <w:rPr>
          <w:rFonts w:ascii="Times New Roman" w:hAnsi="Times New Roman"/>
          <w:bCs/>
          <w:iCs/>
          <w:lang w:val="sr-Latn-RS"/>
        </w:rPr>
        <w:t xml:space="preserve">koji su </w:t>
      </w:r>
      <w:r w:rsidR="00884B40" w:rsidRPr="00BE54E7">
        <w:rPr>
          <w:rFonts w:ascii="Times New Roman" w:hAnsi="Times New Roman"/>
          <w:bCs/>
          <w:iCs/>
          <w:lang w:val="sr-Latn-RS"/>
        </w:rPr>
        <w:t xml:space="preserve">svojevremeno </w:t>
      </w:r>
      <w:r w:rsidR="00884B40" w:rsidRPr="00BE54E7">
        <w:rPr>
          <w:rFonts w:ascii="Times New Roman" w:hAnsi="Times New Roman"/>
          <w:bCs/>
          <w:iCs/>
          <w:lang w:val="sr-Latn-RS"/>
        </w:rPr>
        <w:t>uspostavljeni</w:t>
      </w:r>
      <w:r w:rsidR="00884B40" w:rsidRPr="00BE54E7">
        <w:rPr>
          <w:rFonts w:ascii="Times New Roman" w:hAnsi="Times New Roman"/>
          <w:bCs/>
          <w:iCs/>
          <w:lang w:val="sr-Latn-RS"/>
        </w:rPr>
        <w:t xml:space="preserve"> u velikom broju JLS</w:t>
      </w:r>
      <w:r w:rsidR="00884B40" w:rsidRPr="00BE54E7">
        <w:rPr>
          <w:rFonts w:ascii="Times New Roman" w:hAnsi="Times New Roman"/>
          <w:bCs/>
          <w:iCs/>
          <w:lang w:val="sr-Latn-RS"/>
        </w:rPr>
        <w:t>,</w:t>
      </w:r>
      <w:r w:rsidR="00884B40" w:rsidRPr="00BE54E7">
        <w:rPr>
          <w:rFonts w:ascii="Times New Roman" w:hAnsi="Times New Roman"/>
          <w:bCs/>
          <w:iCs/>
          <w:lang w:val="sr-Latn-RS"/>
        </w:rPr>
        <w:t xml:space="preserve"> kako bi bili uključeni u prevenciju i sprečavanje sukoba interesa.</w:t>
      </w:r>
    </w:p>
    <w:p w:rsidR="00B548B0" w:rsidRPr="00BE54E7" w:rsidRDefault="00B548B0" w:rsidP="00B548B0">
      <w:pPr>
        <w:jc w:val="both"/>
        <w:rPr>
          <w:rFonts w:ascii="Times New Roman" w:hAnsi="Times New Roman"/>
          <w:bCs/>
          <w:iCs/>
          <w:lang w:val="sr-Latn-RS"/>
        </w:rPr>
      </w:pPr>
      <w:r w:rsidRPr="00BE54E7">
        <w:rPr>
          <w:rFonts w:ascii="Times New Roman" w:hAnsi="Times New Roman"/>
          <w:b/>
          <w:bCs/>
          <w:iCs/>
          <w:lang w:val="sr-Latn-CS"/>
        </w:rPr>
        <w:t>Obuke:</w:t>
      </w:r>
      <w:r w:rsidRPr="00BE54E7">
        <w:rPr>
          <w:rFonts w:ascii="Times New Roman" w:hAnsi="Times New Roman"/>
          <w:bCs/>
          <w:iCs/>
          <w:lang w:val="sr-Latn-CS"/>
        </w:rPr>
        <w:t xml:space="preserve"> A</w:t>
      </w:r>
      <w:r w:rsidRPr="00BE54E7">
        <w:rPr>
          <w:rFonts w:ascii="Times New Roman" w:hAnsi="Times New Roman"/>
          <w:bCs/>
          <w:iCs/>
          <w:lang w:val="sr-Latn-RS"/>
        </w:rPr>
        <w:t xml:space="preserve">kcioni plan za poglavlje 23 i Strategija za borbu protiv korupcije predviđaju obuke državnih službenika i javnih funkcionera kao sredstvo za prevazilaženje problema nepoznavanja ili nerazumevanja koncepta sukoba interesa i uloga koje organi, funkcioneri i službenici imaju u njegovoj prevenciji, sprečavanju i rešavanju. Međutim, aktivnosti su planirane uglavnom tek nakon izmena Zakona o Agenciji za borbu protiv korupcije. </w:t>
      </w:r>
      <w:r w:rsidR="00506F9D" w:rsidRPr="00BE54E7">
        <w:rPr>
          <w:rFonts w:ascii="Times New Roman" w:hAnsi="Times New Roman"/>
          <w:bCs/>
          <w:iCs/>
          <w:lang w:val="sr-Latn-RS"/>
        </w:rPr>
        <w:t>Već godinama postoje</w:t>
      </w:r>
      <w:r w:rsidRPr="00BE54E7">
        <w:rPr>
          <w:rFonts w:ascii="Times New Roman" w:hAnsi="Times New Roman"/>
          <w:bCs/>
          <w:iCs/>
          <w:lang w:val="sr-Latn-RS"/>
        </w:rPr>
        <w:t xml:space="preserve"> obuke državnih službenika o sukobu interesa (u S</w:t>
      </w:r>
      <w:r w:rsidR="00506F9D" w:rsidRPr="00BE54E7">
        <w:rPr>
          <w:rFonts w:ascii="Times New Roman" w:hAnsi="Times New Roman"/>
          <w:bCs/>
          <w:iCs/>
          <w:lang w:val="sr-Latn-RS"/>
        </w:rPr>
        <w:t>lužbi za upravljanje kadrovima)</w:t>
      </w:r>
      <w:r w:rsidRPr="00BE54E7">
        <w:rPr>
          <w:rFonts w:ascii="Times New Roman" w:hAnsi="Times New Roman"/>
          <w:bCs/>
          <w:iCs/>
          <w:lang w:val="sr-Latn-RS"/>
        </w:rPr>
        <w:t xml:space="preserve">, ali je broj obučenih u velikoj nesrazmeri sa brojem obveznika. Tako se u prvom izveštaju o sprovođenju AP 23 iz 2016 pominje </w:t>
      </w:r>
      <w:r w:rsidR="00506F9D" w:rsidRPr="00BE54E7">
        <w:rPr>
          <w:rFonts w:ascii="Times New Roman" w:hAnsi="Times New Roman"/>
          <w:bCs/>
          <w:iCs/>
          <w:lang w:val="sr-Latn-RS"/>
        </w:rPr>
        <w:t xml:space="preserve">samo </w:t>
      </w:r>
      <w:r w:rsidRPr="00BE54E7">
        <w:rPr>
          <w:rFonts w:ascii="Times New Roman" w:hAnsi="Times New Roman"/>
          <w:bCs/>
          <w:iCs/>
          <w:lang w:val="sr-Latn-RS"/>
        </w:rPr>
        <w:t xml:space="preserve">jedna obuka sa devet polaznika, iako u Srbiji ima nekoliko desetina hiljada javnih funkcionera i isto toliko državnih službenika u republičkoj administraciji. Ni broj obuka koje organizuje Agencija nije dovoljan, a pitanju rešavanja sukoba interesa nije dato dovoljno prostora ni u do sada objavljenim vodičima za funkcionere i edukativnim materijalima. </w:t>
      </w:r>
    </w:p>
    <w:p w:rsidR="00506F9D" w:rsidRPr="00BE54E7" w:rsidRDefault="00506F9D" w:rsidP="00506F9D">
      <w:pPr>
        <w:jc w:val="both"/>
        <w:rPr>
          <w:rFonts w:ascii="Times New Roman" w:hAnsi="Times New Roman"/>
          <w:bCs/>
          <w:iCs/>
          <w:lang w:val="sr-Latn-RS"/>
        </w:rPr>
      </w:pPr>
      <w:r w:rsidRPr="00BE54E7">
        <w:rPr>
          <w:rFonts w:ascii="Times New Roman" w:hAnsi="Times New Roman"/>
          <w:b/>
          <w:bCs/>
          <w:iCs/>
          <w:lang w:val="sr-Latn-RS"/>
        </w:rPr>
        <w:t>Postupci:</w:t>
      </w:r>
      <w:r w:rsidRPr="00BE54E7">
        <w:rPr>
          <w:rFonts w:ascii="Times New Roman" w:hAnsi="Times New Roman"/>
          <w:bCs/>
          <w:iCs/>
          <w:lang w:val="sr-Latn-RS"/>
        </w:rPr>
        <w:t xml:space="preserve"> Kada je sukob interesa već nastao, organi javne vlasti na raspolaganju imaju mogućnost njegovog sankcionisanj</w:t>
      </w:r>
      <w:r w:rsidRPr="00BE54E7">
        <w:rPr>
          <w:rFonts w:ascii="Times New Roman" w:hAnsi="Times New Roman"/>
          <w:bCs/>
          <w:iCs/>
          <w:lang w:val="sr-Latn-RS"/>
        </w:rPr>
        <w:t>a kroz disciplinski, prekršajni ili</w:t>
      </w:r>
      <w:r w:rsidRPr="00BE54E7">
        <w:rPr>
          <w:rFonts w:ascii="Times New Roman" w:hAnsi="Times New Roman"/>
          <w:bCs/>
          <w:iCs/>
          <w:lang w:val="sr-Latn-RS"/>
        </w:rPr>
        <w:t xml:space="preserve"> krivični postupak</w:t>
      </w:r>
      <w:r w:rsidRPr="00BE54E7">
        <w:rPr>
          <w:rFonts w:ascii="Times New Roman" w:hAnsi="Times New Roman"/>
          <w:bCs/>
          <w:iCs/>
          <w:lang w:val="sr-Latn-RS"/>
        </w:rPr>
        <w:t>. Neke od sankcija su osobene</w:t>
      </w:r>
      <w:r w:rsidRPr="00BE54E7">
        <w:rPr>
          <w:rFonts w:ascii="Times New Roman" w:hAnsi="Times New Roman"/>
          <w:bCs/>
          <w:iCs/>
          <w:lang w:val="sr-Latn-RS"/>
        </w:rPr>
        <w:t>,</w:t>
      </w:r>
      <w:r w:rsidRPr="00BE54E7">
        <w:rPr>
          <w:rFonts w:ascii="Times New Roman" w:hAnsi="Times New Roman"/>
          <w:bCs/>
          <w:iCs/>
          <w:lang w:val="sr-Latn-RS"/>
        </w:rPr>
        <w:t xml:space="preserve"> poput preporuke</w:t>
      </w:r>
      <w:r w:rsidRPr="00BE54E7">
        <w:rPr>
          <w:rFonts w:ascii="Times New Roman" w:hAnsi="Times New Roman"/>
          <w:bCs/>
          <w:iCs/>
          <w:lang w:val="sr-Latn-RS"/>
        </w:rPr>
        <w:t xml:space="preserve"> o razrešenju sa javne funkcije</w:t>
      </w:r>
      <w:r w:rsidRPr="00BE54E7">
        <w:rPr>
          <w:rFonts w:ascii="Times New Roman" w:hAnsi="Times New Roman"/>
          <w:bCs/>
          <w:iCs/>
          <w:lang w:val="sr-Cyrl-RS"/>
        </w:rPr>
        <w:t xml:space="preserve">, </w:t>
      </w:r>
      <w:r w:rsidRPr="00BE54E7">
        <w:rPr>
          <w:rFonts w:ascii="Times New Roman" w:hAnsi="Times New Roman"/>
          <w:bCs/>
          <w:iCs/>
          <w:lang w:val="sr-Latn-RS"/>
        </w:rPr>
        <w:t xml:space="preserve">javnog objavljivanja odluke o povredi zakona i mera </w:t>
      </w:r>
      <w:r w:rsidRPr="00BE54E7">
        <w:rPr>
          <w:rFonts w:ascii="Times New Roman" w:hAnsi="Times New Roman"/>
          <w:bCs/>
          <w:iCs/>
          <w:lang w:val="sr-Latn-RS"/>
        </w:rPr>
        <w:lastRenderedPageBreak/>
        <w:t>upozorenja. Disciplinska odgovornost je predviđena za sudijski i tužilački posao, ali i za zaposlene u državnoj upravi, vojsci i policiji. Krivična dela koja mogu biti uzrokovana sukobom interesa su određena kako Krivičnim zakonikom (zloupotreba u vezi sa javnom nabavkom, zloupotreba službenog položaja, kršenje zakona od strane sudije, javnog tužioca i njegovog zamenika, nesavestan rad u službi, pronevera, prevara u službi, trgovina uticajem, primanje i davanje mita i sl. ), ali i pos</w:t>
      </w:r>
      <w:r w:rsidRPr="00BE54E7">
        <w:rPr>
          <w:rFonts w:ascii="Times New Roman" w:hAnsi="Times New Roman"/>
          <w:bCs/>
          <w:iCs/>
          <w:lang w:val="sr-Latn-RS"/>
        </w:rPr>
        <w:t>ebnim zakonima, poput Zakona o A</w:t>
      </w:r>
      <w:r w:rsidRPr="00BE54E7">
        <w:rPr>
          <w:rFonts w:ascii="Times New Roman" w:hAnsi="Times New Roman"/>
          <w:bCs/>
          <w:iCs/>
          <w:lang w:val="sr-Latn-RS"/>
        </w:rPr>
        <w:t>genciji za borbu protiv korupcije (neprijavljivanje imovine i davanje lažnih podataka o imovini).</w:t>
      </w:r>
    </w:p>
    <w:p w:rsidR="00884B40" w:rsidRPr="00BE54E7" w:rsidRDefault="00B548B0" w:rsidP="00B548B0">
      <w:pPr>
        <w:jc w:val="both"/>
        <w:rPr>
          <w:rFonts w:ascii="Times New Roman" w:hAnsi="Times New Roman"/>
          <w:bCs/>
          <w:iCs/>
          <w:lang w:val="sr-Latn-RS"/>
        </w:rPr>
      </w:pPr>
      <w:r w:rsidRPr="00BE54E7">
        <w:rPr>
          <w:rFonts w:ascii="Times New Roman" w:hAnsi="Times New Roman"/>
          <w:b/>
          <w:bCs/>
          <w:iCs/>
          <w:lang w:val="sr-Latn-RS"/>
        </w:rPr>
        <w:t>Primena pravila</w:t>
      </w:r>
      <w:r w:rsidR="00884B40" w:rsidRPr="00BE54E7">
        <w:rPr>
          <w:rFonts w:ascii="Times New Roman" w:hAnsi="Times New Roman"/>
          <w:b/>
          <w:bCs/>
          <w:iCs/>
          <w:lang w:val="sr-Latn-RS"/>
        </w:rPr>
        <w:t xml:space="preserve"> (Zakon o Agenciji)</w:t>
      </w:r>
      <w:r w:rsidRPr="00BE54E7">
        <w:rPr>
          <w:rFonts w:ascii="Times New Roman" w:hAnsi="Times New Roman"/>
          <w:b/>
          <w:bCs/>
          <w:iCs/>
          <w:lang w:val="sr-Latn-RS"/>
        </w:rPr>
        <w:t xml:space="preserve">: </w:t>
      </w:r>
      <w:r w:rsidRPr="00BE54E7">
        <w:rPr>
          <w:rFonts w:ascii="Times New Roman" w:hAnsi="Times New Roman"/>
          <w:bCs/>
          <w:iCs/>
          <w:lang w:val="sr-Latn-RS"/>
        </w:rPr>
        <w:t xml:space="preserve">U 2015. je registrovano 203 prijava zbog mogućeg kršenja pravila o sukobu interesa. Agencija je izrekla 60 mera u slučajevima utvrđenog sukoba interesa što na 47.500 funkcionera deluje kao zanemarljiv broj (svega za 0,12%), </w:t>
      </w:r>
      <w:r w:rsidR="00884B40" w:rsidRPr="00BE54E7">
        <w:rPr>
          <w:rFonts w:ascii="Times New Roman" w:hAnsi="Times New Roman"/>
          <w:bCs/>
          <w:iCs/>
          <w:lang w:val="sr-Latn-RS"/>
        </w:rPr>
        <w:t>pogotovo kada se stavu u kontrast spram konstatacija iz strateških akata o tome da je sukob interesa ozbiljan problem</w:t>
      </w:r>
      <w:r w:rsidRPr="00BE54E7">
        <w:rPr>
          <w:rFonts w:ascii="Times New Roman" w:hAnsi="Times New Roman"/>
          <w:bCs/>
          <w:iCs/>
          <w:lang w:val="sr-Latn-RS"/>
        </w:rPr>
        <w:t>. Stanje nije mnogo bolje ni kada je r</w:t>
      </w:r>
      <w:r w:rsidR="00506F9D" w:rsidRPr="00BE54E7">
        <w:rPr>
          <w:rFonts w:ascii="Times New Roman" w:hAnsi="Times New Roman"/>
          <w:bCs/>
          <w:iCs/>
          <w:lang w:val="sr-Latn-RS"/>
        </w:rPr>
        <w:t>eč</w:t>
      </w:r>
      <w:r w:rsidRPr="00BE54E7">
        <w:rPr>
          <w:rFonts w:ascii="Times New Roman" w:hAnsi="Times New Roman"/>
          <w:bCs/>
          <w:iCs/>
          <w:lang w:val="sr-Latn-RS"/>
        </w:rPr>
        <w:t xml:space="preserve"> o prekršajnoj odgovornosti. Kazne koje se izriču protiv funkcionera zbog kršenja pravila iz Zakona o Agenciji za borbu protiv korupcije, kreću se oko zakonskog minimuma</w:t>
      </w:r>
      <w:r w:rsidR="00884B40" w:rsidRPr="00BE54E7">
        <w:rPr>
          <w:rFonts w:ascii="Times New Roman" w:hAnsi="Times New Roman"/>
          <w:bCs/>
          <w:iCs/>
          <w:lang w:val="sr-Latn-RS"/>
        </w:rPr>
        <w:t xml:space="preserve"> (polovina slučajeva), ili se izriče samo sudska opomena (jedna trećina).  U</w:t>
      </w:r>
      <w:r w:rsidRPr="00BE54E7">
        <w:rPr>
          <w:rFonts w:ascii="Times New Roman" w:hAnsi="Times New Roman"/>
          <w:bCs/>
          <w:iCs/>
          <w:lang w:val="sr-Latn-RS"/>
        </w:rPr>
        <w:t xml:space="preserve"> nekoliko slučajeva je evidentirano odugovlačenje od strane nadležnih sudskih organa, što dovodi do zastarevanja. </w:t>
      </w:r>
    </w:p>
    <w:p w:rsidR="00B548B0" w:rsidRPr="00BE54E7" w:rsidRDefault="00884B40" w:rsidP="00884B40">
      <w:pPr>
        <w:jc w:val="both"/>
        <w:rPr>
          <w:rFonts w:ascii="Times New Roman" w:hAnsi="Times New Roman"/>
          <w:bCs/>
          <w:iCs/>
          <w:lang w:val="sr-Latn-RS"/>
        </w:rPr>
      </w:pPr>
      <w:r w:rsidRPr="00BE54E7">
        <w:rPr>
          <w:rFonts w:ascii="Times New Roman" w:hAnsi="Times New Roman"/>
          <w:b/>
          <w:bCs/>
          <w:iCs/>
          <w:lang w:val="sr-Latn-RS"/>
        </w:rPr>
        <w:t xml:space="preserve">Primena pravila (drugi propisi): </w:t>
      </w:r>
      <w:r w:rsidR="00B548B0" w:rsidRPr="00BE54E7">
        <w:rPr>
          <w:rFonts w:ascii="Times New Roman" w:hAnsi="Times New Roman"/>
          <w:bCs/>
          <w:iCs/>
          <w:lang w:val="sr-Latn-RS"/>
        </w:rPr>
        <w:t xml:space="preserve">Podaci o primeni zakona su ograničeni i nesistemtizovani. Primera radi, u 2015. je bilo tek dvoje javnih tužilaca koji su kažnjeni zbog kršenja načela nepristrasnosti i ugrožavanja poverenja građana u javno tužilaštvo, a i tu je kazna bila relativno blaga. Stanje nije bolje ni sa primenom pravila o sukobu interesa državnih službenika. </w:t>
      </w:r>
      <w:r w:rsidRPr="00BE54E7">
        <w:rPr>
          <w:rFonts w:ascii="Times New Roman" w:hAnsi="Times New Roman"/>
          <w:bCs/>
          <w:iCs/>
          <w:lang w:val="sr-Latn-RS"/>
        </w:rPr>
        <w:t>Prema podacima Visokog službeničkog saveta za prošlu godinu, o poštovanju K</w:t>
      </w:r>
      <w:r w:rsidR="00B548B0" w:rsidRPr="00BE54E7">
        <w:rPr>
          <w:rFonts w:ascii="Times New Roman" w:hAnsi="Times New Roman"/>
          <w:bCs/>
          <w:iCs/>
          <w:lang w:val="sr-Latn-RS"/>
        </w:rPr>
        <w:t>odeksa ponašanja državnih službenika</w:t>
      </w:r>
      <w:r w:rsidRPr="00BE54E7">
        <w:rPr>
          <w:rFonts w:ascii="Times New Roman" w:hAnsi="Times New Roman"/>
          <w:bCs/>
          <w:iCs/>
          <w:lang w:val="sr-Latn-RS"/>
        </w:rPr>
        <w:t>,</w:t>
      </w:r>
      <w:r w:rsidR="00B548B0" w:rsidRPr="00BE54E7">
        <w:rPr>
          <w:rFonts w:ascii="Times New Roman" w:hAnsi="Times New Roman"/>
          <w:bCs/>
          <w:iCs/>
          <w:lang w:val="sr-Latn-RS"/>
        </w:rPr>
        <w:t xml:space="preserve"> pokrenuta </w:t>
      </w:r>
      <w:r w:rsidRPr="00BE54E7">
        <w:rPr>
          <w:rFonts w:ascii="Times New Roman" w:hAnsi="Times New Roman"/>
          <w:bCs/>
          <w:iCs/>
          <w:lang w:val="sr-Latn-RS"/>
        </w:rPr>
        <w:t xml:space="preserve">su </w:t>
      </w:r>
      <w:r w:rsidR="00B548B0" w:rsidRPr="00BE54E7">
        <w:rPr>
          <w:rFonts w:ascii="Times New Roman" w:hAnsi="Times New Roman"/>
          <w:bCs/>
          <w:iCs/>
          <w:lang w:val="sr-Latn-RS"/>
        </w:rPr>
        <w:t xml:space="preserve">samo tri disciplinska postupka u vezi sa slučajevima kršenja pravila o sukobu interesa (u odnosu na 48 hiljada zaposlenih u ministarstvima). </w:t>
      </w:r>
    </w:p>
    <w:p w:rsidR="00B548B0" w:rsidRPr="00BE54E7" w:rsidRDefault="00BC0D1F" w:rsidP="00BC0D1F">
      <w:pPr>
        <w:jc w:val="both"/>
        <w:rPr>
          <w:rFonts w:ascii="Times New Roman" w:hAnsi="Times New Roman"/>
          <w:bCs/>
          <w:iCs/>
          <w:lang w:val="sr-Latn-RS"/>
        </w:rPr>
      </w:pPr>
      <w:r w:rsidRPr="00BE54E7">
        <w:rPr>
          <w:rFonts w:ascii="Times New Roman" w:hAnsi="Times New Roman"/>
          <w:b/>
          <w:bCs/>
          <w:iCs/>
          <w:lang w:val="sr-Latn-RS"/>
        </w:rPr>
        <w:t>Praćenje primene:</w:t>
      </w:r>
      <w:r w:rsidRPr="00BE54E7">
        <w:rPr>
          <w:rFonts w:ascii="Times New Roman" w:hAnsi="Times New Roman"/>
          <w:bCs/>
          <w:iCs/>
          <w:lang w:val="sr-Latn-RS"/>
        </w:rPr>
        <w:t xml:space="preserve"> </w:t>
      </w:r>
      <w:r w:rsidR="00B548B0" w:rsidRPr="00BE54E7">
        <w:rPr>
          <w:rFonts w:ascii="Times New Roman" w:hAnsi="Times New Roman"/>
          <w:bCs/>
          <w:iCs/>
          <w:lang w:val="sr-Latn-RS"/>
        </w:rPr>
        <w:t xml:space="preserve">Praćenje primene pravila o sukobu interesa je sastavni deo preporuke iz Skrining izveštaja i planiranih aktivnosti u Akcionom planu za poglavlje 23. Obaveza izveštavanja za nadležne organe se uspostavlja tek od trenutka usvajanja novih rešenja o sprečavanju sukoba interesa državnih službenika. </w:t>
      </w:r>
      <w:r w:rsidRPr="00BE54E7">
        <w:rPr>
          <w:rFonts w:ascii="Times New Roman" w:hAnsi="Times New Roman"/>
          <w:bCs/>
          <w:iCs/>
          <w:lang w:val="sr-Latn-RS"/>
        </w:rPr>
        <w:t xml:space="preserve">Usled toga, dosadašnje </w:t>
      </w:r>
      <w:r w:rsidR="00B548B0" w:rsidRPr="00BE54E7">
        <w:rPr>
          <w:rFonts w:ascii="Times New Roman" w:hAnsi="Times New Roman"/>
          <w:bCs/>
          <w:iCs/>
          <w:lang w:val="sr-Latn-RS"/>
        </w:rPr>
        <w:t xml:space="preserve">nedovoljno i nesistematično izveštavanje o sukobu interesa </w:t>
      </w:r>
      <w:r w:rsidRPr="00BE54E7">
        <w:rPr>
          <w:rFonts w:ascii="Times New Roman" w:hAnsi="Times New Roman"/>
          <w:bCs/>
          <w:iCs/>
          <w:lang w:val="sr-Latn-RS"/>
        </w:rPr>
        <w:t>još uvek ne predstavlja</w:t>
      </w:r>
      <w:r w:rsidR="00B548B0" w:rsidRPr="00BE54E7">
        <w:rPr>
          <w:rFonts w:ascii="Times New Roman" w:hAnsi="Times New Roman"/>
          <w:bCs/>
          <w:iCs/>
          <w:lang w:val="sr-Latn-RS"/>
        </w:rPr>
        <w:t xml:space="preserve"> povredu obaveza </w:t>
      </w:r>
      <w:r w:rsidRPr="00BE54E7">
        <w:rPr>
          <w:rFonts w:ascii="Times New Roman" w:hAnsi="Times New Roman"/>
          <w:bCs/>
          <w:iCs/>
          <w:lang w:val="sr-Latn-RS"/>
        </w:rPr>
        <w:t>koje je Srbija preuzela u okviru pregovora se EU</w:t>
      </w:r>
      <w:r w:rsidR="00B548B0" w:rsidRPr="00BE54E7">
        <w:rPr>
          <w:rFonts w:ascii="Times New Roman" w:hAnsi="Times New Roman"/>
          <w:bCs/>
          <w:iCs/>
          <w:lang w:val="sr-Latn-RS"/>
        </w:rPr>
        <w:t xml:space="preserve">. Međutim, </w:t>
      </w:r>
      <w:r w:rsidRPr="00BE54E7">
        <w:rPr>
          <w:rFonts w:ascii="Times New Roman" w:hAnsi="Times New Roman"/>
          <w:bCs/>
          <w:iCs/>
          <w:lang w:val="sr-Latn-RS"/>
        </w:rPr>
        <w:t xml:space="preserve">nepostojanje sistemskog praćenja i izveštavanja stanja u ovoj oblasti negativno utiče i na druge planirane reforme – izmene zakonskog okvira, planiranje odgovarajućih administrativnih kapaciteta, obuke i aktivnosti usmerene ka javnosti, u cilju boljeg razumevanja pojma sukoba interesa. Detaljnije i razumljivije izveštavanje o sukobu interesa je potrebno i kada je reč o pravosuđu (a ne samo državnoj upravi), budući da je </w:t>
      </w:r>
      <w:r w:rsidR="00B548B0" w:rsidRPr="00BE54E7">
        <w:rPr>
          <w:rFonts w:ascii="Times New Roman" w:hAnsi="Times New Roman"/>
          <w:bCs/>
          <w:iCs/>
          <w:lang w:val="sr-Latn-RS"/>
        </w:rPr>
        <w:t>jedan od ciljeva pregovora u okviru Poglavlja 23 uspostavljanje nepristrasnosti i nezavisnosti pravosuđa</w:t>
      </w:r>
      <w:r w:rsidRPr="00BE54E7">
        <w:rPr>
          <w:rFonts w:ascii="Times New Roman" w:hAnsi="Times New Roman"/>
          <w:bCs/>
          <w:iCs/>
          <w:lang w:val="sr-Latn-RS"/>
        </w:rPr>
        <w:t xml:space="preserve"> </w:t>
      </w:r>
      <w:r w:rsidR="00B548B0" w:rsidRPr="00BE54E7">
        <w:rPr>
          <w:rFonts w:ascii="Times New Roman" w:hAnsi="Times New Roman"/>
          <w:bCs/>
          <w:iCs/>
          <w:lang w:val="sr-Latn-RS"/>
        </w:rPr>
        <w:t xml:space="preserve">(što uključuje odsustvo sukoba interesa). </w:t>
      </w:r>
      <w:r w:rsidRPr="00BE54E7">
        <w:rPr>
          <w:rFonts w:ascii="Times New Roman" w:hAnsi="Times New Roman"/>
          <w:bCs/>
          <w:iCs/>
          <w:lang w:val="sr-Latn-RS"/>
        </w:rPr>
        <w:t xml:space="preserve">Pored uspostavljanja periodične, sistematične, jednoobrazne i razumljive evidencije o slučajevima sprečavanja i rešavanja sukoba interesa, kao i kažnjavanja u slučaju kršenja pravila, potrebno je obezbediti da ti podaci takođe budu dostupni javnosti i da se koriste kod izmena propisa, planiranja resursa, u edukaciji i u komunikaciji sa novinarima, civilnim društvom i građanima.  </w:t>
      </w:r>
    </w:p>
    <w:p w:rsidR="00B548B0" w:rsidRPr="00BE54E7" w:rsidRDefault="00B548B0" w:rsidP="00B548B0">
      <w:pPr>
        <w:jc w:val="both"/>
        <w:rPr>
          <w:rFonts w:ascii="Times New Roman" w:hAnsi="Times New Roman"/>
          <w:bCs/>
          <w:iCs/>
        </w:rPr>
      </w:pPr>
    </w:p>
    <w:p w:rsidR="00D413F7" w:rsidRPr="00BE54E7" w:rsidRDefault="0061160C" w:rsidP="00B548B0">
      <w:pPr>
        <w:jc w:val="both"/>
        <w:rPr>
          <w:rFonts w:ascii="Times New Roman" w:hAnsi="Times New Roman"/>
        </w:rPr>
      </w:pPr>
    </w:p>
    <w:sectPr w:rsidR="00D413F7" w:rsidRPr="00BE54E7" w:rsidSect="009D33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0C" w:rsidRDefault="0061160C" w:rsidP="002546CF">
      <w:pPr>
        <w:spacing w:after="0" w:line="240" w:lineRule="auto"/>
      </w:pPr>
      <w:r>
        <w:separator/>
      </w:r>
    </w:p>
  </w:endnote>
  <w:endnote w:type="continuationSeparator" w:id="0">
    <w:p w:rsidR="0061160C" w:rsidRDefault="0061160C" w:rsidP="0025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D5" w:rsidRPr="00B548B0" w:rsidRDefault="00AA31D5" w:rsidP="00C77D44">
    <w:pPr>
      <w:pStyle w:val="Footer"/>
      <w:jc w:val="both"/>
      <w:rPr>
        <w:rFonts w:asciiTheme="majorHAnsi" w:hAnsiTheme="majorHAnsi"/>
        <w:i/>
        <w:sz w:val="24"/>
        <w:lang w:val="sr-Latn-RS"/>
      </w:rPr>
    </w:pPr>
    <w:r w:rsidRPr="00B548B0">
      <w:rPr>
        <w:rFonts w:asciiTheme="majorHAnsi" w:hAnsiTheme="majorHAnsi"/>
        <w:i/>
        <w:sz w:val="24"/>
        <w:lang w:val="sr-Latn-RS"/>
      </w:rPr>
      <w:t>Izradu izveštaja podržala je Vlade</w:t>
    </w:r>
    <w:r w:rsidR="00C77D44" w:rsidRPr="00B548B0">
      <w:rPr>
        <w:rFonts w:asciiTheme="majorHAnsi" w:hAnsiTheme="majorHAnsi"/>
        <w:i/>
        <w:sz w:val="24"/>
        <w:lang w:val="sr-Latn-RS"/>
      </w:rPr>
      <w:t xml:space="preserve"> </w:t>
    </w:r>
    <w:r w:rsidRPr="00B548B0">
      <w:rPr>
        <w:rFonts w:asciiTheme="majorHAnsi" w:hAnsiTheme="majorHAnsi"/>
        <w:i/>
        <w:sz w:val="24"/>
        <w:lang w:val="sr-Latn-RS"/>
      </w:rPr>
      <w:t>Kraljevine</w:t>
    </w:r>
    <w:r w:rsidR="00C77D44" w:rsidRPr="00B548B0">
      <w:rPr>
        <w:rFonts w:asciiTheme="majorHAnsi" w:hAnsiTheme="majorHAnsi"/>
        <w:i/>
        <w:sz w:val="24"/>
        <w:lang w:val="sr-Latn-RS"/>
      </w:rPr>
      <w:t xml:space="preserve"> </w:t>
    </w:r>
    <w:r w:rsidRPr="00B548B0">
      <w:rPr>
        <w:rFonts w:asciiTheme="majorHAnsi" w:hAnsiTheme="majorHAnsi"/>
        <w:i/>
        <w:sz w:val="24"/>
        <w:lang w:val="sr-Latn-RS"/>
      </w:rPr>
      <w:t>Norveške u okviru institucionalne</w:t>
    </w:r>
    <w:r w:rsidR="00C77D44" w:rsidRPr="00B548B0">
      <w:rPr>
        <w:rFonts w:asciiTheme="majorHAnsi" w:hAnsiTheme="majorHAnsi"/>
        <w:i/>
        <w:sz w:val="24"/>
        <w:lang w:val="sr-Latn-RS"/>
      </w:rPr>
      <w:t xml:space="preserve"> </w:t>
    </w:r>
    <w:r w:rsidRPr="00B548B0">
      <w:rPr>
        <w:rFonts w:asciiTheme="majorHAnsi" w:hAnsiTheme="majorHAnsi"/>
        <w:i/>
        <w:sz w:val="24"/>
        <w:lang w:val="sr-Latn-RS"/>
      </w:rPr>
      <w:t>podrške</w:t>
    </w:r>
    <w:r w:rsidR="00C77D44" w:rsidRPr="00B548B0">
      <w:rPr>
        <w:rFonts w:asciiTheme="majorHAnsi" w:hAnsiTheme="majorHAnsi"/>
        <w:i/>
        <w:sz w:val="24"/>
        <w:lang w:val="sr-Latn-RS"/>
      </w:rPr>
      <w:t xml:space="preserve"> </w:t>
    </w:r>
    <w:r w:rsidRPr="00B548B0">
      <w:rPr>
        <w:rFonts w:asciiTheme="majorHAnsi" w:hAnsiTheme="majorHAnsi"/>
        <w:i/>
        <w:sz w:val="24"/>
        <w:lang w:val="sr-Latn-RS"/>
      </w:rPr>
      <w:t>koaliciji</w:t>
    </w:r>
    <w:r w:rsidR="00C77D44" w:rsidRPr="00B548B0">
      <w:rPr>
        <w:rFonts w:asciiTheme="majorHAnsi" w:hAnsiTheme="majorHAnsi"/>
        <w:i/>
        <w:sz w:val="24"/>
        <w:lang w:val="sr-Latn-RS"/>
      </w:rPr>
      <w:t xml:space="preserve"> </w:t>
    </w:r>
    <w:r w:rsidRPr="00B548B0">
      <w:rPr>
        <w:rFonts w:asciiTheme="majorHAnsi" w:hAnsiTheme="majorHAnsi"/>
        <w:i/>
        <w:sz w:val="24"/>
        <w:lang w:val="sr-Latn-RS"/>
      </w:rPr>
      <w:t>prEUgovor. Gledišta i analiza koji su izneti u ovoj publikaciji</w:t>
    </w:r>
    <w:r w:rsidR="00C77D44" w:rsidRPr="00B548B0">
      <w:rPr>
        <w:rFonts w:asciiTheme="majorHAnsi" w:hAnsiTheme="majorHAnsi"/>
        <w:i/>
        <w:sz w:val="24"/>
        <w:lang w:val="sr-Latn-RS"/>
      </w:rPr>
      <w:t xml:space="preserve"> </w:t>
    </w:r>
    <w:r w:rsidRPr="00B548B0">
      <w:rPr>
        <w:rFonts w:asciiTheme="majorHAnsi" w:hAnsiTheme="majorHAnsi"/>
        <w:i/>
        <w:sz w:val="24"/>
        <w:lang w:val="sr-Latn-RS"/>
      </w:rPr>
      <w:t>pripadaju</w:t>
    </w:r>
    <w:r w:rsidR="00C77D44" w:rsidRPr="00B548B0">
      <w:rPr>
        <w:rFonts w:asciiTheme="majorHAnsi" w:hAnsiTheme="majorHAnsi"/>
        <w:i/>
        <w:sz w:val="24"/>
        <w:lang w:val="sr-Latn-RS"/>
      </w:rPr>
      <w:t xml:space="preserve"> </w:t>
    </w:r>
    <w:r w:rsidRPr="00B548B0">
      <w:rPr>
        <w:rFonts w:asciiTheme="majorHAnsi" w:hAnsiTheme="majorHAnsi"/>
        <w:i/>
        <w:sz w:val="24"/>
        <w:lang w:val="sr-Latn-RS"/>
      </w:rPr>
      <w:t>autorima i ne odražavaju</w:t>
    </w:r>
    <w:r w:rsidR="00C77D44" w:rsidRPr="00B548B0">
      <w:rPr>
        <w:rFonts w:asciiTheme="majorHAnsi" w:hAnsiTheme="majorHAnsi"/>
        <w:i/>
        <w:sz w:val="24"/>
        <w:lang w:val="sr-Latn-RS"/>
      </w:rPr>
      <w:t xml:space="preserve"> </w:t>
    </w:r>
    <w:r w:rsidRPr="00B548B0">
      <w:rPr>
        <w:rFonts w:asciiTheme="majorHAnsi" w:hAnsiTheme="majorHAnsi"/>
        <w:i/>
        <w:sz w:val="24"/>
        <w:lang w:val="sr-Latn-RS"/>
      </w:rPr>
      <w:t>nužno</w:t>
    </w:r>
    <w:r w:rsidR="00C77D44" w:rsidRPr="00B548B0">
      <w:rPr>
        <w:rFonts w:asciiTheme="majorHAnsi" w:hAnsiTheme="majorHAnsi"/>
        <w:i/>
        <w:sz w:val="24"/>
        <w:lang w:val="sr-Latn-RS"/>
      </w:rPr>
      <w:t xml:space="preserve"> </w:t>
    </w:r>
    <w:r w:rsidRPr="00B548B0">
      <w:rPr>
        <w:rFonts w:asciiTheme="majorHAnsi" w:hAnsiTheme="majorHAnsi"/>
        <w:i/>
        <w:sz w:val="24"/>
        <w:lang w:val="sr-Latn-RS"/>
      </w:rPr>
      <w:t>gledišta</w:t>
    </w:r>
    <w:r w:rsidR="00C77D44" w:rsidRPr="00B548B0">
      <w:rPr>
        <w:rFonts w:asciiTheme="majorHAnsi" w:hAnsiTheme="majorHAnsi"/>
        <w:i/>
        <w:sz w:val="24"/>
        <w:lang w:val="sr-Latn-RS"/>
      </w:rPr>
      <w:t xml:space="preserve"> </w:t>
    </w:r>
    <w:r w:rsidRPr="00B548B0">
      <w:rPr>
        <w:rFonts w:asciiTheme="majorHAnsi" w:hAnsiTheme="majorHAnsi"/>
        <w:i/>
        <w:sz w:val="24"/>
        <w:lang w:val="sr-Latn-RS"/>
      </w:rPr>
      <w:t>Vlade</w:t>
    </w:r>
    <w:r w:rsidR="00C77D44" w:rsidRPr="00B548B0">
      <w:rPr>
        <w:rFonts w:asciiTheme="majorHAnsi" w:hAnsiTheme="majorHAnsi"/>
        <w:i/>
        <w:sz w:val="24"/>
        <w:lang w:val="sr-Latn-RS"/>
      </w:rPr>
      <w:t xml:space="preserve"> </w:t>
    </w:r>
    <w:r w:rsidRPr="00B548B0">
      <w:rPr>
        <w:rFonts w:asciiTheme="majorHAnsi" w:hAnsiTheme="majorHAnsi"/>
        <w:i/>
        <w:sz w:val="24"/>
        <w:lang w:val="sr-Latn-RS"/>
      </w:rPr>
      <w:t>Norveške</w:t>
    </w:r>
    <w:r w:rsidR="00C77D44" w:rsidRPr="00B548B0">
      <w:rPr>
        <w:rFonts w:asciiTheme="majorHAnsi" w:hAnsiTheme="majorHAnsi"/>
        <w:i/>
        <w:sz w:val="24"/>
        <w:lang w:val="sr-Latn-RS"/>
      </w:rPr>
      <w:t xml:space="preserve"> </w:t>
    </w:r>
    <w:r w:rsidRPr="00B548B0">
      <w:rPr>
        <w:rFonts w:asciiTheme="majorHAnsi" w:hAnsiTheme="majorHAnsi"/>
        <w:i/>
        <w:sz w:val="24"/>
        <w:lang w:val="sr-Latn-RS"/>
      </w:rPr>
      <w:t>ili</w:t>
    </w:r>
    <w:r w:rsidR="00C77D44" w:rsidRPr="00B548B0">
      <w:rPr>
        <w:rFonts w:asciiTheme="majorHAnsi" w:hAnsiTheme="majorHAnsi"/>
        <w:i/>
        <w:sz w:val="24"/>
        <w:lang w:val="sr-Latn-RS"/>
      </w:rPr>
      <w:t xml:space="preserve"> </w:t>
    </w:r>
    <w:r w:rsidRPr="00B548B0">
      <w:rPr>
        <w:rFonts w:asciiTheme="majorHAnsi" w:hAnsiTheme="majorHAnsi"/>
        <w:i/>
        <w:sz w:val="24"/>
        <w:lang w:val="sr-Latn-RS"/>
      </w:rPr>
      <w:t>bilo koje druge</w:t>
    </w:r>
    <w:r w:rsidR="00C77D44" w:rsidRPr="00B548B0">
      <w:rPr>
        <w:rFonts w:asciiTheme="majorHAnsi" w:hAnsiTheme="majorHAnsi"/>
        <w:i/>
        <w:sz w:val="24"/>
        <w:lang w:val="sr-Latn-RS"/>
      </w:rPr>
      <w:t xml:space="preserve"> </w:t>
    </w:r>
    <w:r w:rsidRPr="00B548B0">
      <w:rPr>
        <w:rFonts w:asciiTheme="majorHAnsi" w:hAnsiTheme="majorHAnsi"/>
        <w:i/>
        <w:sz w:val="24"/>
        <w:lang w:val="sr-Latn-RS"/>
      </w:rPr>
      <w:t>povezane organizacije.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0C" w:rsidRDefault="0061160C" w:rsidP="002546CF">
      <w:pPr>
        <w:spacing w:after="0" w:line="240" w:lineRule="auto"/>
      </w:pPr>
      <w:r>
        <w:separator/>
      </w:r>
    </w:p>
  </w:footnote>
  <w:footnote w:type="continuationSeparator" w:id="0">
    <w:p w:rsidR="0061160C" w:rsidRDefault="0061160C" w:rsidP="0025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CF" w:rsidRDefault="00C77D44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-422275</wp:posOffset>
          </wp:positionV>
          <wp:extent cx="1906905" cy="861060"/>
          <wp:effectExtent l="19050" t="0" r="0" b="0"/>
          <wp:wrapSquare wrapText="bothSides"/>
          <wp:docPr id="2" name="Picture 1" descr="Ambasa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asad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-465455</wp:posOffset>
          </wp:positionV>
          <wp:extent cx="1569720" cy="896620"/>
          <wp:effectExtent l="19050" t="0" r="0" b="0"/>
          <wp:wrapSquare wrapText="bothSides"/>
          <wp:docPr id="1" name="Picture 1" descr="prEUgov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Ugov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9BA"/>
    <w:multiLevelType w:val="hybridMultilevel"/>
    <w:tmpl w:val="B580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01EBC"/>
    <w:multiLevelType w:val="hybridMultilevel"/>
    <w:tmpl w:val="3C74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1BDB"/>
    <w:multiLevelType w:val="hybridMultilevel"/>
    <w:tmpl w:val="F2204A66"/>
    <w:lvl w:ilvl="0" w:tplc="BA225D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CF"/>
    <w:rsid w:val="00086898"/>
    <w:rsid w:val="000A0BD9"/>
    <w:rsid w:val="000B705C"/>
    <w:rsid w:val="000F7A6A"/>
    <w:rsid w:val="0018715E"/>
    <w:rsid w:val="001A552B"/>
    <w:rsid w:val="001C3C88"/>
    <w:rsid w:val="002546CF"/>
    <w:rsid w:val="002E5721"/>
    <w:rsid w:val="002F4099"/>
    <w:rsid w:val="004F5883"/>
    <w:rsid w:val="00506F9D"/>
    <w:rsid w:val="005B2109"/>
    <w:rsid w:val="0061160C"/>
    <w:rsid w:val="006F4154"/>
    <w:rsid w:val="007C100D"/>
    <w:rsid w:val="0086359E"/>
    <w:rsid w:val="00884B40"/>
    <w:rsid w:val="008934E2"/>
    <w:rsid w:val="008B3B0E"/>
    <w:rsid w:val="008D4796"/>
    <w:rsid w:val="009133C6"/>
    <w:rsid w:val="00933109"/>
    <w:rsid w:val="00981045"/>
    <w:rsid w:val="009A2924"/>
    <w:rsid w:val="009B4610"/>
    <w:rsid w:val="009D3325"/>
    <w:rsid w:val="00A618FF"/>
    <w:rsid w:val="00AA31D5"/>
    <w:rsid w:val="00AD0CD6"/>
    <w:rsid w:val="00B53D7E"/>
    <w:rsid w:val="00B548B0"/>
    <w:rsid w:val="00BC0D1F"/>
    <w:rsid w:val="00BE54E7"/>
    <w:rsid w:val="00C55C18"/>
    <w:rsid w:val="00C77D44"/>
    <w:rsid w:val="00CA22D5"/>
    <w:rsid w:val="00D22113"/>
    <w:rsid w:val="00D36C75"/>
    <w:rsid w:val="00EB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C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6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6C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6C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C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6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6C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6C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Cvetkovic</dc:creator>
  <cp:lastModifiedBy>NNemanja</cp:lastModifiedBy>
  <cp:revision>9</cp:revision>
  <dcterms:created xsi:type="dcterms:W3CDTF">2016-10-20T04:32:00Z</dcterms:created>
  <dcterms:modified xsi:type="dcterms:W3CDTF">2016-10-20T05:54:00Z</dcterms:modified>
</cp:coreProperties>
</file>