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371" w:rsidRPr="009745FB" w:rsidRDefault="009745FB" w:rsidP="009745FB">
      <w:pPr>
        <w:pStyle w:val="Heading1"/>
        <w:jc w:val="center"/>
        <w:rPr>
          <w:rFonts w:ascii="Times New Roman" w:hAnsi="Times New Roman"/>
          <w:sz w:val="24"/>
          <w:szCs w:val="24"/>
          <w:lang w:val="sr-Latn-RS"/>
        </w:rPr>
      </w:pPr>
      <w:bookmarkStart w:id="0" w:name="_Toc367362489"/>
      <w:bookmarkStart w:id="1" w:name="_Toc367368458"/>
      <w:bookmarkStart w:id="2" w:name="_Toc367368455"/>
      <w:r w:rsidRPr="009745FB">
        <w:rPr>
          <w:rFonts w:ascii="Times New Roman" w:hAnsi="Times New Roman"/>
          <w:sz w:val="24"/>
          <w:szCs w:val="24"/>
          <w:lang w:val="sr-Latn-RS"/>
        </w:rPr>
        <w:t xml:space="preserve">Slobodan pristup informacijama: </w:t>
      </w:r>
      <w:r w:rsidR="00A66371" w:rsidRPr="009745FB">
        <w:rPr>
          <w:rFonts w:ascii="Times New Roman" w:hAnsi="Times New Roman"/>
          <w:sz w:val="24"/>
          <w:szCs w:val="24"/>
          <w:lang w:val="sr-Latn-RS"/>
        </w:rPr>
        <w:t>Informatori o radu</w:t>
      </w:r>
      <w:bookmarkEnd w:id="0"/>
      <w:bookmarkEnd w:id="1"/>
    </w:p>
    <w:p w:rsidR="006074A7" w:rsidRDefault="006074A7" w:rsidP="009745FB">
      <w:pPr>
        <w:jc w:val="center"/>
        <w:rPr>
          <w:sz w:val="24"/>
          <w:szCs w:val="24"/>
          <w:lang w:val="sr-Latn-RS"/>
        </w:rPr>
      </w:pPr>
    </w:p>
    <w:p w:rsidR="009745FB" w:rsidRPr="009745FB" w:rsidRDefault="009745FB" w:rsidP="009745FB">
      <w:pPr>
        <w:jc w:val="center"/>
        <w:rPr>
          <w:sz w:val="24"/>
          <w:szCs w:val="24"/>
          <w:lang w:val="sr-Latn-RS"/>
        </w:rPr>
      </w:pPr>
      <w:r w:rsidRPr="009745FB">
        <w:rPr>
          <w:sz w:val="24"/>
          <w:szCs w:val="24"/>
          <w:lang w:val="sr-Latn-RS"/>
        </w:rPr>
        <w:t>Praćenje stanja od novembra 2013. do maja 2015.</w:t>
      </w:r>
    </w:p>
    <w:p w:rsidR="009745FB" w:rsidRPr="009745FB" w:rsidRDefault="009745FB" w:rsidP="009745FB">
      <w:pPr>
        <w:rPr>
          <w:sz w:val="24"/>
          <w:szCs w:val="24"/>
          <w:lang w:val="sr-Latn-RS"/>
        </w:rPr>
      </w:pPr>
    </w:p>
    <w:p w:rsidR="00A66371" w:rsidRPr="009745FB" w:rsidRDefault="009745FB" w:rsidP="00A66371">
      <w:pPr>
        <w:rPr>
          <w:b/>
          <w:i/>
          <w:sz w:val="24"/>
          <w:szCs w:val="24"/>
          <w:lang w:val="sr-Latn-RS"/>
        </w:rPr>
      </w:pPr>
      <w:r w:rsidRPr="009745FB">
        <w:rPr>
          <w:b/>
          <w:i/>
          <w:sz w:val="24"/>
          <w:szCs w:val="24"/>
          <w:lang w:val="sr-Latn-RS"/>
        </w:rPr>
        <w:t>Sažetak</w:t>
      </w:r>
      <w:r>
        <w:rPr>
          <w:b/>
          <w:i/>
          <w:sz w:val="24"/>
          <w:szCs w:val="24"/>
          <w:lang w:val="sr-Latn-RS"/>
        </w:rPr>
        <w:t xml:space="preserve"> nalaza</w:t>
      </w:r>
    </w:p>
    <w:p w:rsidR="009745FB" w:rsidRPr="009745FB" w:rsidRDefault="009745FB" w:rsidP="009745FB">
      <w:pPr>
        <w:spacing w:before="100" w:beforeAutospacing="1" w:after="100" w:afterAutospacing="1"/>
        <w:jc w:val="both"/>
        <w:rPr>
          <w:sz w:val="24"/>
          <w:szCs w:val="24"/>
          <w:lang w:val="sr-Latn-RS" w:eastAsia="sr-Latn-RS"/>
        </w:rPr>
      </w:pPr>
      <w:r w:rsidRPr="009745FB">
        <w:rPr>
          <w:sz w:val="24"/>
          <w:szCs w:val="24"/>
          <w:lang w:val="sr-Latn-RS" w:eastAsia="sr-Latn-RS"/>
        </w:rPr>
        <w:t>Nije</w:t>
      </w:r>
      <w:r w:rsidRPr="009745FB">
        <w:rPr>
          <w:b/>
          <w:sz w:val="24"/>
          <w:szCs w:val="24"/>
          <w:lang w:val="sr-Latn-RS" w:eastAsia="sr-Latn-RS"/>
        </w:rPr>
        <w:t xml:space="preserve"> bilo promena</w:t>
      </w:r>
      <w:r w:rsidRPr="009745FB">
        <w:rPr>
          <w:sz w:val="24"/>
          <w:szCs w:val="24"/>
          <w:lang w:val="sr-Latn-RS" w:eastAsia="sr-Latn-RS"/>
        </w:rPr>
        <w:t xml:space="preserve"> Zakona o slobodnom pristupu informacijama od javnog značaja, koje bi, da su usvojene, proširile krug organa koji moraju da objave informatore o radu i obezbedile adekvatniji nadzor nad primeno</w:t>
      </w:r>
      <w:r w:rsidR="00E755A3">
        <w:rPr>
          <w:sz w:val="24"/>
          <w:szCs w:val="24"/>
          <w:lang w:val="sr-Latn-RS" w:eastAsia="sr-Latn-RS"/>
        </w:rPr>
        <w:t>m tog zakona. Rokovi za izmene Z</w:t>
      </w:r>
      <w:r w:rsidRPr="009745FB">
        <w:rPr>
          <w:sz w:val="24"/>
          <w:szCs w:val="24"/>
          <w:lang w:val="sr-Latn-RS" w:eastAsia="sr-Latn-RS"/>
        </w:rPr>
        <w:t xml:space="preserve">akona (koje su bile pripremljene još krajem 2011) se stalno pomeraju (npr. u strateškim aktima), a tek nedavno je to pitanje konačno pokrenuto sa „mrtve tačke“ (formirana je radna grupa u Ministarstvu za državnu upravu i lokalnu samoupravu). </w:t>
      </w:r>
    </w:p>
    <w:p w:rsidR="009745FB" w:rsidRPr="009745FB" w:rsidRDefault="009745FB" w:rsidP="009745FB">
      <w:pPr>
        <w:spacing w:before="100" w:beforeAutospacing="1" w:after="100" w:afterAutospacing="1"/>
        <w:jc w:val="both"/>
        <w:rPr>
          <w:sz w:val="24"/>
          <w:szCs w:val="24"/>
          <w:lang w:val="sr-Latn-RS" w:eastAsia="sr-Latn-RS"/>
        </w:rPr>
      </w:pPr>
      <w:r w:rsidRPr="009745FB">
        <w:rPr>
          <w:b/>
          <w:sz w:val="24"/>
          <w:szCs w:val="24"/>
          <w:lang w:val="sr-Latn-RS" w:eastAsia="sr-Latn-RS"/>
        </w:rPr>
        <w:t>U praksi objavljivanja informatora o radu</w:t>
      </w:r>
      <w:r w:rsidRPr="009745FB">
        <w:rPr>
          <w:sz w:val="24"/>
          <w:szCs w:val="24"/>
          <w:lang w:val="sr-Latn-RS" w:eastAsia="sr-Latn-RS"/>
        </w:rPr>
        <w:t xml:space="preserve"> nije bilo krupnijih promena. I dalje je </w:t>
      </w:r>
      <w:r w:rsidRPr="009745FB">
        <w:rPr>
          <w:b/>
          <w:sz w:val="24"/>
          <w:szCs w:val="24"/>
          <w:lang w:val="sr-Latn-RS" w:eastAsia="sr-Latn-RS"/>
        </w:rPr>
        <w:t xml:space="preserve">najveći problem neažurnost </w:t>
      </w:r>
      <w:r w:rsidRPr="009745FB">
        <w:rPr>
          <w:sz w:val="24"/>
          <w:szCs w:val="24"/>
          <w:lang w:val="sr-Latn-RS" w:eastAsia="sr-Latn-RS"/>
        </w:rPr>
        <w:t xml:space="preserve">objavljenih informacija (šest meseci i duže), što smanjuje korisnost i pouzdanost ovih dokumenata. U načelu, može se govoriti o pozitivnim trendovima kod ministarstava i kod drugih organa koji su periodično predmet monitoringa. Mediji sve češće koriste podatke iz informatora kao materijal koji se koristi u pisanju o radu državnih organa. </w:t>
      </w:r>
    </w:p>
    <w:p w:rsidR="00A66371" w:rsidRPr="009745FB" w:rsidRDefault="00A66371" w:rsidP="00A66371">
      <w:pPr>
        <w:jc w:val="both"/>
        <w:rPr>
          <w:b/>
          <w:sz w:val="24"/>
          <w:szCs w:val="24"/>
          <w:lang w:val="sr-Latn-RS"/>
        </w:rPr>
      </w:pPr>
      <w:r w:rsidRPr="009745FB">
        <w:rPr>
          <w:b/>
          <w:sz w:val="24"/>
          <w:szCs w:val="24"/>
          <w:lang w:val="sr-Latn-RS"/>
        </w:rPr>
        <w:t xml:space="preserve">Šta su informatori o radu? </w:t>
      </w:r>
    </w:p>
    <w:p w:rsidR="00A66371" w:rsidRPr="009745FB" w:rsidRDefault="00A66371" w:rsidP="00A66371">
      <w:pPr>
        <w:jc w:val="both"/>
        <w:rPr>
          <w:sz w:val="24"/>
          <w:szCs w:val="24"/>
          <w:lang w:val="sr-Latn-RS"/>
        </w:rPr>
      </w:pPr>
    </w:p>
    <w:p w:rsidR="006074A7" w:rsidRDefault="00A66371" w:rsidP="00A66371">
      <w:pPr>
        <w:jc w:val="both"/>
        <w:rPr>
          <w:sz w:val="24"/>
          <w:szCs w:val="24"/>
          <w:lang w:val="sr-Latn-RS"/>
        </w:rPr>
      </w:pPr>
      <w:r w:rsidRPr="009745FB">
        <w:rPr>
          <w:sz w:val="24"/>
          <w:szCs w:val="24"/>
          <w:lang w:val="sr-Latn-RS"/>
        </w:rPr>
        <w:t xml:space="preserve">Najznačajniji vid proaktivnog objavljivanja informacija o radu organa vlasti u Srbiji su informatori o radu. Objavljivanje ovih dokumenata predstavlja </w:t>
      </w:r>
      <w:r w:rsidRPr="009745FB">
        <w:rPr>
          <w:b/>
          <w:sz w:val="24"/>
          <w:szCs w:val="24"/>
          <w:lang w:val="sr-Latn-RS"/>
        </w:rPr>
        <w:t>obavezu iz Zakona o slobodnom pristupu informacijama od javnog značaja</w:t>
      </w:r>
      <w:r w:rsidR="00C27F40" w:rsidRPr="009745FB">
        <w:rPr>
          <w:b/>
          <w:sz w:val="24"/>
          <w:szCs w:val="24"/>
          <w:lang w:val="sr-Latn-RS"/>
        </w:rPr>
        <w:t>,</w:t>
      </w:r>
      <w:r w:rsidRPr="009745FB">
        <w:rPr>
          <w:sz w:val="24"/>
          <w:szCs w:val="24"/>
          <w:lang w:val="sr-Latn-RS"/>
        </w:rPr>
        <w:t xml:space="preserve"> a obavezan sadržaj i način objavljivanja propisan je Uputstvom Poverenika</w:t>
      </w:r>
      <w:r w:rsidRPr="009745FB">
        <w:rPr>
          <w:rStyle w:val="FootnoteReference"/>
          <w:sz w:val="24"/>
          <w:szCs w:val="24"/>
          <w:lang w:val="sr-Latn-RS"/>
        </w:rPr>
        <w:footnoteReference w:id="1"/>
      </w:r>
      <w:r w:rsidRPr="009745FB">
        <w:rPr>
          <w:sz w:val="24"/>
          <w:szCs w:val="24"/>
          <w:lang w:val="sr-Latn-RS"/>
        </w:rPr>
        <w:t xml:space="preserve">. Između ostalog, Uputstvo nalaže da se informatori objavljuju na internet stranicama i da se </w:t>
      </w:r>
      <w:r w:rsidRPr="009745FB">
        <w:rPr>
          <w:b/>
          <w:sz w:val="24"/>
          <w:szCs w:val="24"/>
          <w:lang w:val="sr-Latn-RS"/>
        </w:rPr>
        <w:t>ažuriraju najmanje jednom mesečno.</w:t>
      </w:r>
      <w:r w:rsidRPr="009745FB">
        <w:rPr>
          <w:sz w:val="24"/>
          <w:szCs w:val="24"/>
          <w:lang w:val="sr-Latn-RS"/>
        </w:rPr>
        <w:t xml:space="preserve"> </w:t>
      </w:r>
    </w:p>
    <w:p w:rsidR="006074A7" w:rsidRDefault="006074A7" w:rsidP="00A66371">
      <w:pPr>
        <w:jc w:val="both"/>
        <w:rPr>
          <w:sz w:val="24"/>
          <w:szCs w:val="24"/>
          <w:lang w:val="sr-Latn-RS"/>
        </w:rPr>
      </w:pPr>
    </w:p>
    <w:p w:rsidR="00A66371" w:rsidRPr="009745FB" w:rsidRDefault="00A66371" w:rsidP="00A66371">
      <w:pPr>
        <w:jc w:val="both"/>
        <w:rPr>
          <w:sz w:val="24"/>
          <w:szCs w:val="24"/>
          <w:lang w:val="sr-Latn-RS"/>
        </w:rPr>
      </w:pPr>
      <w:r w:rsidRPr="009745FB">
        <w:rPr>
          <w:sz w:val="24"/>
          <w:szCs w:val="24"/>
          <w:lang w:val="sr-Latn-RS"/>
        </w:rPr>
        <w:t xml:space="preserve">U informatoru je organ obavezan da objavi </w:t>
      </w:r>
      <w:r w:rsidRPr="009745FB">
        <w:rPr>
          <w:b/>
          <w:sz w:val="24"/>
          <w:szCs w:val="24"/>
          <w:lang w:val="sr-Latn-RS"/>
        </w:rPr>
        <w:t>detaljne podatke</w:t>
      </w:r>
      <w:r w:rsidRPr="009745FB">
        <w:rPr>
          <w:sz w:val="24"/>
          <w:szCs w:val="24"/>
          <w:lang w:val="sr-Latn-RS"/>
        </w:rPr>
        <w:t xml:space="preserve"> o svojoj strukturi, načinu rada, uslugama koje pruža zainteresovanim licima, sredstvima koja koristi i mnoge druge podatke u okviru unapred definisanih dvadeset poglavlja. Obavezu objavljivanja informatora nemaju svi organi vlasti, već samo državni organi, organi APV, organi lokalnih samouprava i „organizacije kojima je povereno vršenje javnih ovlašćenja“, što ne uključuje brojna lokalna javna preduzeća i ustanove. Ovaj nedostatak bi trebalo da bude otklonjen kroz izmenu Zakona o slobodnom pristupu informacijama. </w:t>
      </w:r>
    </w:p>
    <w:p w:rsidR="003D620D" w:rsidRPr="009745FB" w:rsidRDefault="003D620D" w:rsidP="003D620D">
      <w:pPr>
        <w:pStyle w:val="Heading1"/>
        <w:rPr>
          <w:rFonts w:ascii="Times New Roman" w:hAnsi="Times New Roman"/>
          <w:sz w:val="24"/>
          <w:szCs w:val="24"/>
          <w:lang w:val="sr-Latn-RS"/>
        </w:rPr>
      </w:pPr>
      <w:r w:rsidRPr="009745FB">
        <w:rPr>
          <w:rFonts w:ascii="Times New Roman" w:hAnsi="Times New Roman"/>
          <w:sz w:val="24"/>
          <w:szCs w:val="24"/>
          <w:lang w:val="sr-Latn-RS"/>
        </w:rPr>
        <w:t xml:space="preserve">Nalazi istraživanja u 2015. godini </w:t>
      </w:r>
    </w:p>
    <w:bookmarkEnd w:id="2"/>
    <w:p w:rsidR="00E604BA" w:rsidRDefault="00E604BA" w:rsidP="00A44797">
      <w:pPr>
        <w:jc w:val="both"/>
        <w:rPr>
          <w:bCs/>
          <w:sz w:val="24"/>
          <w:szCs w:val="24"/>
          <w:lang w:val="sr-Latn-RS"/>
        </w:rPr>
      </w:pPr>
    </w:p>
    <w:p w:rsidR="00A44797" w:rsidRPr="009745FB" w:rsidRDefault="00C27F40" w:rsidP="00A44797">
      <w:pPr>
        <w:jc w:val="both"/>
        <w:rPr>
          <w:bCs/>
          <w:sz w:val="24"/>
          <w:szCs w:val="24"/>
          <w:lang w:val="sr-Latn-RS"/>
        </w:rPr>
      </w:pPr>
      <w:r w:rsidRPr="009745FB">
        <w:rPr>
          <w:sz w:val="24"/>
          <w:szCs w:val="24"/>
          <w:lang w:val="sr-Latn-RS"/>
        </w:rPr>
        <w:t xml:space="preserve">U želji da utvrdimo da li je bilo napretka u poštovanju obaveza koje nalaže Uputstvo Poverenika u odnosu na stanje </w:t>
      </w:r>
      <w:r w:rsidR="006074A7">
        <w:rPr>
          <w:sz w:val="24"/>
          <w:szCs w:val="24"/>
          <w:lang w:val="sr-Latn-RS"/>
        </w:rPr>
        <w:t>iz aprila 2014, u martu 2015</w:t>
      </w:r>
      <w:r w:rsidR="00A05F37" w:rsidRPr="009745FB">
        <w:rPr>
          <w:sz w:val="24"/>
          <w:szCs w:val="24"/>
          <w:lang w:val="sr-Latn-RS"/>
        </w:rPr>
        <w:t xml:space="preserve">, </w:t>
      </w:r>
      <w:r w:rsidR="00605B94" w:rsidRPr="009745FB">
        <w:rPr>
          <w:sz w:val="24"/>
          <w:szCs w:val="24"/>
          <w:lang w:val="sr-Latn-RS"/>
        </w:rPr>
        <w:t xml:space="preserve">izvršili smo drugi krug provere i </w:t>
      </w:r>
      <w:r w:rsidR="00605B94" w:rsidRPr="009745FB">
        <w:rPr>
          <w:sz w:val="24"/>
          <w:szCs w:val="24"/>
          <w:lang w:val="sr-Latn-RS"/>
        </w:rPr>
        <w:lastRenderedPageBreak/>
        <w:t xml:space="preserve">analize informatora o radu na istom uzorku od 35 organa. </w:t>
      </w:r>
      <w:r w:rsidR="00A44797" w:rsidRPr="009745FB">
        <w:rPr>
          <w:bCs/>
          <w:sz w:val="24"/>
          <w:szCs w:val="24"/>
          <w:lang w:val="sr-Latn-RS"/>
        </w:rPr>
        <w:t xml:space="preserve">Rezultati ovog istraživanja pokazuju da i dalje veliki problem predstavlja neažurnost, ali i neobjavljivanje preciznih podataka o rokovima za pružanje usluga, izvršavanju budžeta, dodeljenoj i primljenoj finansijskoj pomoći. </w:t>
      </w:r>
    </w:p>
    <w:p w:rsidR="0078261E" w:rsidRPr="009745FB" w:rsidRDefault="0078261E" w:rsidP="0078261E">
      <w:pPr>
        <w:jc w:val="both"/>
        <w:rPr>
          <w:sz w:val="24"/>
          <w:szCs w:val="24"/>
          <w:lang w:val="sr-Latn-RS"/>
        </w:rPr>
      </w:pPr>
    </w:p>
    <w:p w:rsidR="00605B94" w:rsidRPr="009745FB" w:rsidRDefault="0078261E" w:rsidP="00A66371">
      <w:pPr>
        <w:jc w:val="both"/>
        <w:rPr>
          <w:sz w:val="24"/>
          <w:szCs w:val="24"/>
          <w:lang w:val="sr-Latn-RS"/>
        </w:rPr>
      </w:pPr>
      <w:r w:rsidRPr="009745FB">
        <w:rPr>
          <w:sz w:val="24"/>
          <w:szCs w:val="24"/>
          <w:lang w:val="sr-Latn-RS"/>
        </w:rPr>
        <w:t xml:space="preserve">Glavni kriterijum za uključivanje organa u uzorak bilo je zadovoljenje potreba građana, sa posebnim naglaskom na potencijalno ranjive grupe ili široki krug korisnika. Opštine i obrazovne ustanove su uključene po načelu slučajnog uzorka. U ukupnom uzorku uključeno je pet opština iz raznih delova Srbije, pet obrazovnih visokoškolskih ustanova, četiri ustanove socijalne zaštite, tri organizacije obaveznog socijalnog osiguranja, </w:t>
      </w:r>
      <w:r w:rsidR="006074A7">
        <w:rPr>
          <w:sz w:val="24"/>
          <w:szCs w:val="24"/>
          <w:lang w:val="sr-Latn-RS"/>
        </w:rPr>
        <w:t>jedna organizacija sa javnim ovlašćenjima</w:t>
      </w:r>
      <w:r w:rsidRPr="009745FB">
        <w:rPr>
          <w:sz w:val="24"/>
          <w:szCs w:val="24"/>
          <w:lang w:val="sr-Latn-RS"/>
        </w:rPr>
        <w:t>, šest drugih republičkih organa i ustanova, jedan pokrajinski sekretarijat i 10 javnih preduzeća.</w:t>
      </w:r>
    </w:p>
    <w:p w:rsidR="00100776" w:rsidRPr="009745FB" w:rsidRDefault="00100776" w:rsidP="00A66371">
      <w:pPr>
        <w:jc w:val="both"/>
        <w:rPr>
          <w:sz w:val="24"/>
          <w:szCs w:val="24"/>
          <w:lang w:val="sr-Latn-RS"/>
        </w:rPr>
      </w:pPr>
    </w:p>
    <w:p w:rsidR="00505B39" w:rsidRPr="006074A7" w:rsidRDefault="00100776" w:rsidP="00505B39">
      <w:pPr>
        <w:jc w:val="both"/>
        <w:rPr>
          <w:sz w:val="24"/>
          <w:szCs w:val="24"/>
          <w:lang w:val="sr-Latn-RS"/>
        </w:rPr>
      </w:pPr>
      <w:r w:rsidRPr="009745FB">
        <w:rPr>
          <w:sz w:val="24"/>
          <w:szCs w:val="24"/>
          <w:lang w:val="sr-Latn-RS"/>
        </w:rPr>
        <w:t xml:space="preserve">Pregled i analiza su izvršeni u martu 2015. </w:t>
      </w:r>
      <w:r w:rsidR="00A66371" w:rsidRPr="009745FB">
        <w:rPr>
          <w:sz w:val="24"/>
          <w:szCs w:val="24"/>
          <w:lang w:val="sr-Latn-RS"/>
        </w:rPr>
        <w:t xml:space="preserve">Predmet provere nisu bile sve odredbe informatora već samo one koje se odnose na </w:t>
      </w:r>
      <w:r w:rsidR="00A66371" w:rsidRPr="009745FB">
        <w:rPr>
          <w:b/>
          <w:sz w:val="24"/>
          <w:szCs w:val="24"/>
          <w:lang w:val="sr-Latn-RS"/>
        </w:rPr>
        <w:t>ispunjavanje osnovnih obaveza iz Uputstva</w:t>
      </w:r>
      <w:r w:rsidR="00A66371" w:rsidRPr="009745FB">
        <w:rPr>
          <w:sz w:val="24"/>
          <w:szCs w:val="24"/>
          <w:lang w:val="sr-Latn-RS"/>
        </w:rPr>
        <w:t xml:space="preserve">, </w:t>
      </w:r>
      <w:r w:rsidR="00A66371" w:rsidRPr="009745FB">
        <w:rPr>
          <w:b/>
          <w:sz w:val="24"/>
          <w:szCs w:val="24"/>
          <w:lang w:val="sr-Latn-RS"/>
        </w:rPr>
        <w:t>opis usluga koje se pružaju zainteresovanim licima i finansijsko poslovanje</w:t>
      </w:r>
      <w:r w:rsidR="00A66371" w:rsidRPr="009745FB">
        <w:rPr>
          <w:sz w:val="24"/>
          <w:szCs w:val="24"/>
          <w:lang w:val="sr-Latn-RS"/>
        </w:rPr>
        <w:t xml:space="preserve">. </w:t>
      </w:r>
      <w:r w:rsidR="00912851" w:rsidRPr="009745FB">
        <w:rPr>
          <w:sz w:val="24"/>
          <w:szCs w:val="24"/>
          <w:lang w:val="sr-Latn-RS"/>
        </w:rPr>
        <w:t>Ista č</w:t>
      </w:r>
      <w:r w:rsidR="00505B39" w:rsidRPr="009745FB">
        <w:rPr>
          <w:sz w:val="24"/>
          <w:szCs w:val="24"/>
          <w:lang w:val="sr-Latn-RS"/>
        </w:rPr>
        <w:t xml:space="preserve">etiri organa među odabranima </w:t>
      </w:r>
      <w:r w:rsidR="00505B39" w:rsidRPr="009745FB">
        <w:rPr>
          <w:b/>
          <w:sz w:val="24"/>
          <w:szCs w:val="24"/>
          <w:lang w:val="sr-Latn-RS"/>
        </w:rPr>
        <w:t>uopšte nisu</w:t>
      </w:r>
      <w:r w:rsidR="00912851" w:rsidRPr="009745FB">
        <w:rPr>
          <w:b/>
          <w:sz w:val="24"/>
          <w:szCs w:val="24"/>
          <w:lang w:val="sr-Latn-RS"/>
        </w:rPr>
        <w:t xml:space="preserve"> imala informator ili veb sajt</w:t>
      </w:r>
      <w:r w:rsidR="006074A7">
        <w:rPr>
          <w:sz w:val="24"/>
          <w:szCs w:val="24"/>
          <w:lang w:val="sr-Latn-RS"/>
        </w:rPr>
        <w:t xml:space="preserve"> (u nekim slučajevima je do poboljšanja došlo nakon objavljivanja naših nalaza).</w:t>
      </w:r>
    </w:p>
    <w:p w:rsidR="00100776" w:rsidRPr="009745FB" w:rsidRDefault="00100776" w:rsidP="00505B39">
      <w:pPr>
        <w:jc w:val="both"/>
        <w:rPr>
          <w:sz w:val="24"/>
          <w:szCs w:val="24"/>
          <w:lang w:val="sr-Latn-RS"/>
        </w:rPr>
      </w:pPr>
    </w:p>
    <w:p w:rsidR="0053582A" w:rsidRPr="009745FB" w:rsidRDefault="0053582A" w:rsidP="00505B39">
      <w:pPr>
        <w:jc w:val="both"/>
        <w:rPr>
          <w:i/>
          <w:sz w:val="24"/>
          <w:szCs w:val="24"/>
          <w:lang w:val="sr-Latn-RS"/>
        </w:rPr>
      </w:pPr>
      <w:r w:rsidRPr="009745FB">
        <w:rPr>
          <w:i/>
          <w:sz w:val="24"/>
          <w:szCs w:val="24"/>
          <w:lang w:val="sr-Latn-RS"/>
        </w:rPr>
        <w:t xml:space="preserve">Dostupnost informatora o radu </w:t>
      </w:r>
    </w:p>
    <w:p w:rsidR="0053582A" w:rsidRPr="009745FB" w:rsidRDefault="0053582A" w:rsidP="00505B39">
      <w:pPr>
        <w:jc w:val="both"/>
        <w:rPr>
          <w:i/>
          <w:sz w:val="24"/>
          <w:szCs w:val="24"/>
          <w:lang w:val="sr-Latn-RS"/>
        </w:rPr>
      </w:pPr>
    </w:p>
    <w:p w:rsidR="00FF0FAF" w:rsidRDefault="0053582A" w:rsidP="00505B39">
      <w:pPr>
        <w:jc w:val="both"/>
        <w:rPr>
          <w:sz w:val="24"/>
          <w:szCs w:val="24"/>
          <w:lang w:val="sr-Latn-RS"/>
        </w:rPr>
      </w:pPr>
      <w:r w:rsidRPr="009745FB">
        <w:rPr>
          <w:sz w:val="24"/>
          <w:szCs w:val="24"/>
          <w:lang w:val="sr-Latn-RS"/>
        </w:rPr>
        <w:t>Rezultati u ovoj kategoriji su značajno bolji u odnosu na ostale kategorije. Najveći broj posmatranih organa</w:t>
      </w:r>
      <w:r w:rsidR="00CB7DDB" w:rsidRPr="009745FB">
        <w:rPr>
          <w:sz w:val="24"/>
          <w:szCs w:val="24"/>
          <w:lang w:val="sr-Latn-RS"/>
        </w:rPr>
        <w:t xml:space="preserve"> (77%)</w:t>
      </w:r>
      <w:r w:rsidR="001F1A93" w:rsidRPr="009745FB">
        <w:rPr>
          <w:sz w:val="24"/>
          <w:szCs w:val="24"/>
          <w:lang w:val="sr-Latn-RS"/>
        </w:rPr>
        <w:t>,</w:t>
      </w:r>
      <w:r w:rsidRPr="009745FB">
        <w:rPr>
          <w:sz w:val="24"/>
          <w:szCs w:val="24"/>
          <w:lang w:val="sr-Latn-RS"/>
        </w:rPr>
        <w:t xml:space="preserve"> koji </w:t>
      </w:r>
      <w:r w:rsidR="001F1A93" w:rsidRPr="009745FB">
        <w:rPr>
          <w:sz w:val="24"/>
          <w:szCs w:val="24"/>
          <w:lang w:val="sr-Latn-RS"/>
        </w:rPr>
        <w:t>su objavili</w:t>
      </w:r>
      <w:r w:rsidRPr="009745FB">
        <w:rPr>
          <w:sz w:val="24"/>
          <w:szCs w:val="24"/>
          <w:lang w:val="sr-Latn-RS"/>
        </w:rPr>
        <w:t xml:space="preserve"> informator o radu, to je učinilo u skladu sa Uputstvom</w:t>
      </w:r>
      <w:r w:rsidR="00CB7DDB" w:rsidRPr="009745FB">
        <w:rPr>
          <w:sz w:val="24"/>
          <w:szCs w:val="24"/>
          <w:lang w:val="sr-Latn-RS"/>
        </w:rPr>
        <w:t>,</w:t>
      </w:r>
      <w:r w:rsidRPr="009745FB">
        <w:rPr>
          <w:sz w:val="24"/>
          <w:szCs w:val="24"/>
          <w:lang w:val="sr-Latn-RS"/>
        </w:rPr>
        <w:t xml:space="preserve"> tako</w:t>
      </w:r>
      <w:r w:rsidR="00CB7DDB" w:rsidRPr="009745FB">
        <w:rPr>
          <w:sz w:val="24"/>
          <w:szCs w:val="24"/>
          <w:lang w:val="sr-Latn-RS"/>
        </w:rPr>
        <w:t xml:space="preserve"> da</w:t>
      </w:r>
      <w:r w:rsidRPr="009745FB">
        <w:rPr>
          <w:sz w:val="24"/>
          <w:szCs w:val="24"/>
          <w:lang w:val="sr-Latn-RS"/>
        </w:rPr>
        <w:t xml:space="preserve"> je informator uočljiv na početnoj strani ili kao deo osnovne ponude (menija) ili u vidu posebne oznake (baner). </w:t>
      </w:r>
      <w:r w:rsidR="00E70A13" w:rsidRPr="009745FB">
        <w:rPr>
          <w:sz w:val="24"/>
          <w:szCs w:val="24"/>
          <w:lang w:val="sr-Latn-RS"/>
        </w:rPr>
        <w:t>U neš</w:t>
      </w:r>
      <w:r w:rsidR="00CB7DDB" w:rsidRPr="009745FB">
        <w:rPr>
          <w:sz w:val="24"/>
          <w:szCs w:val="24"/>
          <w:lang w:val="sr-Latn-RS"/>
        </w:rPr>
        <w:t>to manje od 20%</w:t>
      </w:r>
      <w:r w:rsidR="001F1A93" w:rsidRPr="009745FB">
        <w:rPr>
          <w:sz w:val="24"/>
          <w:szCs w:val="24"/>
          <w:lang w:val="sr-Latn-RS"/>
        </w:rPr>
        <w:t xml:space="preserve"> slučajeva</w:t>
      </w:r>
      <w:r w:rsidR="00E70A13" w:rsidRPr="009745FB">
        <w:rPr>
          <w:sz w:val="24"/>
          <w:szCs w:val="24"/>
          <w:lang w:val="sr-Latn-RS"/>
        </w:rPr>
        <w:t>,</w:t>
      </w:r>
      <w:r w:rsidR="00CB7DDB" w:rsidRPr="009745FB">
        <w:rPr>
          <w:sz w:val="24"/>
          <w:szCs w:val="24"/>
          <w:lang w:val="sr-Latn-RS"/>
        </w:rPr>
        <w:t xml:space="preserve"> informator je objavljen u okviru sekcija</w:t>
      </w:r>
      <w:r w:rsidR="00E70A13" w:rsidRPr="009745FB">
        <w:rPr>
          <w:sz w:val="24"/>
          <w:szCs w:val="24"/>
          <w:lang w:val="sr-Latn-RS"/>
        </w:rPr>
        <w:t xml:space="preserve"> veb sajta</w:t>
      </w:r>
      <w:r w:rsidR="00CB7DDB" w:rsidRPr="009745FB">
        <w:rPr>
          <w:sz w:val="24"/>
          <w:szCs w:val="24"/>
          <w:lang w:val="sr-Latn-RS"/>
        </w:rPr>
        <w:t xml:space="preserve"> „o nama“, „dokumenti“ ili „izveštaji“</w:t>
      </w:r>
      <w:r w:rsidR="00FF0FAF" w:rsidRPr="009745FB">
        <w:rPr>
          <w:sz w:val="24"/>
          <w:szCs w:val="24"/>
          <w:lang w:val="sr-Latn-RS"/>
        </w:rPr>
        <w:t xml:space="preserve">. </w:t>
      </w:r>
    </w:p>
    <w:p w:rsidR="006074A7" w:rsidRPr="009745FB" w:rsidRDefault="006074A7" w:rsidP="00505B39">
      <w:pPr>
        <w:jc w:val="both"/>
        <w:rPr>
          <w:i/>
          <w:sz w:val="24"/>
          <w:szCs w:val="24"/>
          <w:lang w:val="sr-Latn-RS"/>
        </w:rPr>
      </w:pPr>
    </w:p>
    <w:p w:rsidR="00912851" w:rsidRPr="009745FB" w:rsidRDefault="00912851" w:rsidP="00505B39">
      <w:pPr>
        <w:jc w:val="both"/>
        <w:rPr>
          <w:i/>
          <w:sz w:val="24"/>
          <w:szCs w:val="24"/>
          <w:lang w:val="sr-Latn-RS"/>
        </w:rPr>
      </w:pPr>
      <w:r w:rsidRPr="009745FB">
        <w:rPr>
          <w:i/>
          <w:sz w:val="24"/>
          <w:szCs w:val="24"/>
          <w:lang w:val="sr-Latn-RS"/>
        </w:rPr>
        <w:t>Ažuriranje podataka</w:t>
      </w:r>
    </w:p>
    <w:p w:rsidR="00912851" w:rsidRPr="009745FB" w:rsidRDefault="00912851" w:rsidP="00505B39">
      <w:pPr>
        <w:jc w:val="both"/>
        <w:rPr>
          <w:sz w:val="24"/>
          <w:szCs w:val="24"/>
          <w:lang w:val="sr-Latn-RS"/>
        </w:rPr>
      </w:pPr>
    </w:p>
    <w:p w:rsidR="00505B39" w:rsidRPr="009745FB" w:rsidRDefault="00505B39" w:rsidP="00505B39">
      <w:pPr>
        <w:jc w:val="both"/>
        <w:rPr>
          <w:sz w:val="24"/>
          <w:szCs w:val="24"/>
          <w:lang w:val="sr-Latn-RS"/>
        </w:rPr>
      </w:pPr>
      <w:r w:rsidRPr="009745FB">
        <w:rPr>
          <w:sz w:val="24"/>
          <w:szCs w:val="24"/>
          <w:lang w:val="sr-Latn-RS"/>
        </w:rPr>
        <w:t xml:space="preserve">Od 31 organa koji su imali objavljen informator, </w:t>
      </w:r>
      <w:r w:rsidR="00BB6D88" w:rsidRPr="009745FB">
        <w:rPr>
          <w:b/>
          <w:sz w:val="24"/>
          <w:szCs w:val="24"/>
          <w:lang w:val="sr-Latn-RS"/>
        </w:rPr>
        <w:t>u samo 4</w:t>
      </w:r>
      <w:r w:rsidRPr="009745FB">
        <w:rPr>
          <w:b/>
          <w:sz w:val="24"/>
          <w:szCs w:val="24"/>
          <w:lang w:val="sr-Latn-RS"/>
        </w:rPr>
        <w:t xml:space="preserve"> slučaj</w:t>
      </w:r>
      <w:r w:rsidR="00BB6D88" w:rsidRPr="009745FB">
        <w:rPr>
          <w:b/>
          <w:sz w:val="24"/>
          <w:szCs w:val="24"/>
          <w:lang w:val="sr-Latn-RS"/>
        </w:rPr>
        <w:t>a</w:t>
      </w:r>
      <w:r w:rsidRPr="009745FB">
        <w:rPr>
          <w:b/>
          <w:sz w:val="24"/>
          <w:szCs w:val="24"/>
          <w:lang w:val="sr-Latn-RS"/>
        </w:rPr>
        <w:t xml:space="preserve"> (</w:t>
      </w:r>
      <w:r w:rsidR="00BB6D88" w:rsidRPr="009745FB">
        <w:rPr>
          <w:b/>
          <w:sz w:val="24"/>
          <w:szCs w:val="24"/>
          <w:lang w:val="sr-Latn-RS"/>
        </w:rPr>
        <w:t>12</w:t>
      </w:r>
      <w:r w:rsidRPr="009745FB">
        <w:rPr>
          <w:b/>
          <w:sz w:val="24"/>
          <w:szCs w:val="24"/>
          <w:lang w:val="sr-Latn-RS"/>
        </w:rPr>
        <w:t xml:space="preserve">%) informacije su bile ažurne </w:t>
      </w:r>
      <w:r w:rsidRPr="009745FB">
        <w:rPr>
          <w:sz w:val="24"/>
          <w:szCs w:val="24"/>
          <w:lang w:val="sr-Latn-RS"/>
        </w:rPr>
        <w:t>onako kako Uputstvo predviđa</w:t>
      </w:r>
      <w:r w:rsidR="00E70A13" w:rsidRPr="009745FB">
        <w:rPr>
          <w:sz w:val="24"/>
          <w:szCs w:val="24"/>
          <w:lang w:val="sr-Latn-RS"/>
        </w:rPr>
        <w:t xml:space="preserve"> (do kraja svakog kalendarskog meseca)</w:t>
      </w:r>
      <w:r w:rsidRPr="009745FB">
        <w:rPr>
          <w:sz w:val="24"/>
          <w:szCs w:val="24"/>
          <w:lang w:val="sr-Latn-RS"/>
        </w:rPr>
        <w:t xml:space="preserve">, a u još </w:t>
      </w:r>
      <w:r w:rsidR="00E70A13" w:rsidRPr="009745FB">
        <w:rPr>
          <w:sz w:val="24"/>
          <w:szCs w:val="24"/>
          <w:lang w:val="sr-Latn-RS"/>
        </w:rPr>
        <w:t>22%</w:t>
      </w:r>
      <w:r w:rsidRPr="009745FB">
        <w:rPr>
          <w:sz w:val="24"/>
          <w:szCs w:val="24"/>
          <w:lang w:val="sr-Latn-RS"/>
        </w:rPr>
        <w:t xml:space="preserve"> je kašnjenje bilo manjeg obima (do 2 meseca). U više od polovine slučajeva (</w:t>
      </w:r>
      <w:r w:rsidR="00BB6D88" w:rsidRPr="009745FB">
        <w:rPr>
          <w:sz w:val="24"/>
          <w:szCs w:val="24"/>
          <w:lang w:val="sr-Latn-RS"/>
        </w:rPr>
        <w:t>20</w:t>
      </w:r>
      <w:r w:rsidRPr="009745FB">
        <w:rPr>
          <w:sz w:val="24"/>
          <w:szCs w:val="24"/>
          <w:lang w:val="sr-Latn-RS"/>
        </w:rPr>
        <w:t>) najsvežija informacija je poticala iz prošle ili neke još ranije godine. U takvoj situaciji, građani ne mogu da se pouzdaju u informatore</w:t>
      </w:r>
      <w:r w:rsidRPr="009745FB">
        <w:rPr>
          <w:b/>
          <w:sz w:val="24"/>
          <w:szCs w:val="24"/>
          <w:lang w:val="sr-Latn-RS"/>
        </w:rPr>
        <w:t>,</w:t>
      </w:r>
      <w:r w:rsidRPr="009745FB">
        <w:rPr>
          <w:sz w:val="24"/>
          <w:szCs w:val="24"/>
          <w:lang w:val="sr-Latn-RS"/>
        </w:rPr>
        <w:t xml:space="preserve"> čak ni kada su podaci koji se u njima navode inače detaljni i tačni.  </w:t>
      </w:r>
    </w:p>
    <w:p w:rsidR="006074A7" w:rsidRPr="009745FB" w:rsidRDefault="006074A7" w:rsidP="00505B39">
      <w:pPr>
        <w:jc w:val="both"/>
        <w:rPr>
          <w:sz w:val="24"/>
          <w:szCs w:val="24"/>
          <w:lang w:val="sr-Latn-RS"/>
        </w:rPr>
      </w:pPr>
    </w:p>
    <w:p w:rsidR="00912851" w:rsidRPr="009745FB" w:rsidRDefault="00BB6D88" w:rsidP="00505B39">
      <w:pPr>
        <w:jc w:val="both"/>
        <w:rPr>
          <w:i/>
          <w:sz w:val="24"/>
          <w:szCs w:val="24"/>
          <w:lang w:val="sr-Latn-RS"/>
        </w:rPr>
      </w:pPr>
      <w:r w:rsidRPr="009745FB">
        <w:rPr>
          <w:i/>
          <w:sz w:val="24"/>
          <w:szCs w:val="24"/>
          <w:lang w:val="sr-Latn-RS"/>
        </w:rPr>
        <w:t>Navođenje podataka o uslugama</w:t>
      </w:r>
    </w:p>
    <w:p w:rsidR="00912851" w:rsidRPr="009745FB" w:rsidRDefault="00912851" w:rsidP="00505B39">
      <w:pPr>
        <w:jc w:val="both"/>
        <w:rPr>
          <w:i/>
          <w:sz w:val="24"/>
          <w:szCs w:val="24"/>
          <w:lang w:val="sr-Latn-RS"/>
        </w:rPr>
      </w:pPr>
    </w:p>
    <w:p w:rsidR="00FD1F0E" w:rsidRPr="009745FB" w:rsidRDefault="00FD1F0E" w:rsidP="00FD1F0E">
      <w:pPr>
        <w:jc w:val="both"/>
        <w:rPr>
          <w:sz w:val="24"/>
          <w:szCs w:val="24"/>
          <w:lang w:val="sr-Latn-RS"/>
        </w:rPr>
      </w:pPr>
      <w:r w:rsidRPr="009745FB">
        <w:rPr>
          <w:sz w:val="24"/>
          <w:szCs w:val="24"/>
          <w:lang w:val="sr-Latn-RS"/>
        </w:rPr>
        <w:t>Uputstvom se nalaže objavljivanje informacija o uslugama</w:t>
      </w:r>
      <w:r w:rsidRPr="009745FB">
        <w:rPr>
          <w:sz w:val="24"/>
          <w:szCs w:val="24"/>
          <w:lang w:val="sr-Latn-RS" w:eastAsia="en-US"/>
        </w:rPr>
        <w:t xml:space="preserve"> </w:t>
      </w:r>
      <w:r w:rsidRPr="009745FB">
        <w:rPr>
          <w:sz w:val="24"/>
          <w:szCs w:val="24"/>
          <w:lang w:val="sr-Latn-RS"/>
        </w:rPr>
        <w:t>koje organ pruža zainteresovanim licima, navođenje kategorija lica koja imaju pravo na uslugu, navođenje uslova koje lica moraju ispuniti da bi im usluga bila pružena,</w:t>
      </w:r>
      <w:r w:rsidR="003C4599" w:rsidRPr="009745FB">
        <w:rPr>
          <w:sz w:val="24"/>
          <w:szCs w:val="24"/>
          <w:lang w:val="sr-Latn-RS"/>
        </w:rPr>
        <w:t xml:space="preserve"> na koji način se usluga može dobiti (npr. zahtev, molba),</w:t>
      </w:r>
      <w:r w:rsidR="003C4599" w:rsidRPr="009745FB">
        <w:rPr>
          <w:sz w:val="24"/>
          <w:szCs w:val="24"/>
          <w:lang w:val="sr-Latn-RS" w:eastAsia="en-US"/>
        </w:rPr>
        <w:t xml:space="preserve"> </w:t>
      </w:r>
      <w:r w:rsidR="003C4599" w:rsidRPr="009745FB">
        <w:rPr>
          <w:sz w:val="24"/>
          <w:szCs w:val="24"/>
          <w:lang w:val="sr-Latn-RS"/>
        </w:rPr>
        <w:t xml:space="preserve">podatke o  taksama i troškovima postupka, dokazima koje podnosilac </w:t>
      </w:r>
      <w:r w:rsidR="003C4599" w:rsidRPr="009745FB">
        <w:rPr>
          <w:sz w:val="24"/>
          <w:szCs w:val="24"/>
          <w:lang w:val="sr-Latn-RS"/>
        </w:rPr>
        <w:lastRenderedPageBreak/>
        <w:t xml:space="preserve">zahteva prilaže, </w:t>
      </w:r>
      <w:r w:rsidRPr="009745FB">
        <w:rPr>
          <w:sz w:val="24"/>
          <w:szCs w:val="24"/>
          <w:lang w:val="sr-Latn-RS"/>
        </w:rPr>
        <w:t>postupak radi pružanja usluga,</w:t>
      </w:r>
      <w:r w:rsidR="003C4599" w:rsidRPr="009745FB">
        <w:rPr>
          <w:sz w:val="24"/>
          <w:szCs w:val="24"/>
          <w:lang w:val="sr-Latn-RS"/>
        </w:rPr>
        <w:t xml:space="preserve"> da li je propisan rok za pružanje usluge i koji je to rok, u kojem roku se može očekivati da usluga bude pružena, bez obzira na to da li je on propisan ili ne i da li se očekivani rok razlikuje od propisanog,</w:t>
      </w:r>
      <w:r w:rsidRPr="009745FB">
        <w:rPr>
          <w:sz w:val="24"/>
          <w:szCs w:val="24"/>
          <w:lang w:val="sr-Latn-RS"/>
        </w:rPr>
        <w:t xml:space="preserve"> pregled podataka o pruženim uslugama</w:t>
      </w:r>
      <w:r w:rsidR="003C4599" w:rsidRPr="009745FB">
        <w:rPr>
          <w:sz w:val="24"/>
          <w:szCs w:val="24"/>
          <w:lang w:val="sr-Latn-RS"/>
        </w:rPr>
        <w:t xml:space="preserve"> i </w:t>
      </w:r>
      <w:r w:rsidRPr="009745FB">
        <w:rPr>
          <w:sz w:val="24"/>
          <w:szCs w:val="24"/>
          <w:lang w:val="sr-Latn-RS"/>
        </w:rPr>
        <w:t>drugi korisni podaci o uslugama</w:t>
      </w:r>
      <w:r w:rsidR="003C4599" w:rsidRPr="009745FB">
        <w:rPr>
          <w:sz w:val="24"/>
          <w:szCs w:val="24"/>
          <w:lang w:val="sr-Latn-RS"/>
        </w:rPr>
        <w:t xml:space="preserve"> (adresa, broj kancelarije, šalter, veb adresa, adresa elektronske pošte, radno vreme za rad sa strankama i sl., kao i informacije od koga i na koji način se mogu dobiti informacije o toku postupka).  </w:t>
      </w:r>
    </w:p>
    <w:p w:rsidR="00FD1F0E" w:rsidRPr="009745FB" w:rsidRDefault="00FD1F0E" w:rsidP="00FD1F0E">
      <w:pPr>
        <w:jc w:val="both"/>
        <w:rPr>
          <w:sz w:val="24"/>
          <w:szCs w:val="24"/>
          <w:lang w:val="sr-Latn-RS"/>
        </w:rPr>
      </w:pPr>
    </w:p>
    <w:p w:rsidR="008240FE" w:rsidRPr="009745FB" w:rsidRDefault="003C4599" w:rsidP="00505B39">
      <w:pPr>
        <w:jc w:val="both"/>
        <w:rPr>
          <w:sz w:val="24"/>
          <w:szCs w:val="24"/>
          <w:lang w:val="sr-Latn-RS"/>
        </w:rPr>
      </w:pPr>
      <w:r w:rsidRPr="009745FB">
        <w:rPr>
          <w:b/>
          <w:sz w:val="24"/>
          <w:szCs w:val="24"/>
          <w:lang w:val="sr-Latn-RS"/>
        </w:rPr>
        <w:t>Rezultati analize pokazuju da u ovoj oblasti nije bilo napretka</w:t>
      </w:r>
      <w:r w:rsidR="00E70A13" w:rsidRPr="009745FB">
        <w:rPr>
          <w:b/>
          <w:sz w:val="24"/>
          <w:szCs w:val="24"/>
          <w:lang w:val="sr-Latn-RS"/>
        </w:rPr>
        <w:t xml:space="preserve"> u odnosu na stanje iz aprila 2014.</w:t>
      </w:r>
      <w:r w:rsidRPr="009745FB">
        <w:rPr>
          <w:b/>
          <w:sz w:val="24"/>
          <w:szCs w:val="24"/>
          <w:lang w:val="sr-Latn-RS"/>
        </w:rPr>
        <w:t xml:space="preserve"> </w:t>
      </w:r>
      <w:r w:rsidR="00505B39" w:rsidRPr="009745FB">
        <w:rPr>
          <w:sz w:val="24"/>
          <w:szCs w:val="24"/>
          <w:lang w:val="sr-Latn-RS"/>
        </w:rPr>
        <w:t xml:space="preserve">Sedam organa (23%) nije navelo ništa u ovim poglavljima, a još toliko je navelo samo veoma uopštene podatke. Kao i ranijih godina, i sada se pokazalo da </w:t>
      </w:r>
      <w:r w:rsidR="00505B39" w:rsidRPr="009745FB">
        <w:rPr>
          <w:b/>
          <w:sz w:val="24"/>
          <w:szCs w:val="24"/>
          <w:lang w:val="sr-Latn-RS"/>
        </w:rPr>
        <w:t>organi vlasti najčešće ne objavljuju koji je stvarni ili uobičajeni rok za pružanje usluge</w:t>
      </w:r>
      <w:r w:rsidR="00505B39" w:rsidRPr="009745FB">
        <w:rPr>
          <w:sz w:val="24"/>
          <w:szCs w:val="24"/>
          <w:lang w:val="sr-Latn-RS"/>
        </w:rPr>
        <w:t xml:space="preserve">. Samo u dva slučaja su objavljene precizne informacije ove vrste. </w:t>
      </w:r>
      <w:r w:rsidR="008240FE" w:rsidRPr="009745FB">
        <w:rPr>
          <w:sz w:val="24"/>
          <w:szCs w:val="24"/>
          <w:lang w:val="sr-Latn-RS"/>
        </w:rPr>
        <w:t xml:space="preserve">Takođe, retko se objavljuju i formulari za dobijanje usluga. </w:t>
      </w:r>
    </w:p>
    <w:p w:rsidR="00BC75B2" w:rsidRPr="009745FB" w:rsidRDefault="00BC75B2" w:rsidP="00505B39">
      <w:pPr>
        <w:jc w:val="both"/>
        <w:rPr>
          <w:sz w:val="24"/>
          <w:szCs w:val="24"/>
          <w:lang w:val="sr-Latn-RS"/>
        </w:rPr>
      </w:pPr>
    </w:p>
    <w:p w:rsidR="008240FE" w:rsidRPr="009745FB" w:rsidRDefault="008240FE" w:rsidP="00505B39">
      <w:pPr>
        <w:jc w:val="both"/>
        <w:rPr>
          <w:i/>
          <w:sz w:val="24"/>
          <w:szCs w:val="24"/>
          <w:lang w:val="sr-Latn-RS"/>
        </w:rPr>
      </w:pPr>
      <w:r w:rsidRPr="009745FB">
        <w:rPr>
          <w:i/>
          <w:sz w:val="24"/>
          <w:szCs w:val="24"/>
          <w:lang w:val="sr-Latn-RS"/>
        </w:rPr>
        <w:t xml:space="preserve">Podaci o budžetu </w:t>
      </w:r>
    </w:p>
    <w:p w:rsidR="008240FE" w:rsidRPr="009745FB" w:rsidRDefault="008240FE" w:rsidP="00505B39">
      <w:pPr>
        <w:jc w:val="both"/>
        <w:rPr>
          <w:sz w:val="24"/>
          <w:szCs w:val="24"/>
          <w:lang w:val="sr-Latn-RS"/>
        </w:rPr>
      </w:pPr>
    </w:p>
    <w:p w:rsidR="00505B39" w:rsidRPr="009745FB" w:rsidRDefault="00505B39" w:rsidP="00505B39">
      <w:pPr>
        <w:jc w:val="both"/>
        <w:rPr>
          <w:sz w:val="24"/>
          <w:szCs w:val="24"/>
          <w:lang w:val="sr-Latn-RS"/>
        </w:rPr>
      </w:pPr>
      <w:r w:rsidRPr="009745FB">
        <w:rPr>
          <w:sz w:val="24"/>
          <w:szCs w:val="24"/>
          <w:lang w:val="sr-Latn-RS"/>
        </w:rPr>
        <w:t xml:space="preserve">Samo u </w:t>
      </w:r>
      <w:r w:rsidR="006074A7">
        <w:rPr>
          <w:sz w:val="24"/>
          <w:szCs w:val="24"/>
          <w:lang w:val="sr-Latn-RS"/>
        </w:rPr>
        <w:t>dva</w:t>
      </w:r>
      <w:r w:rsidRPr="009745FB">
        <w:rPr>
          <w:sz w:val="24"/>
          <w:szCs w:val="24"/>
          <w:lang w:val="sr-Latn-RS"/>
        </w:rPr>
        <w:t xml:space="preserve"> slučaj</w:t>
      </w:r>
      <w:r w:rsidR="007B4147" w:rsidRPr="009745FB">
        <w:rPr>
          <w:sz w:val="24"/>
          <w:szCs w:val="24"/>
          <w:lang w:val="sr-Latn-RS"/>
        </w:rPr>
        <w:t>a</w:t>
      </w:r>
      <w:r w:rsidRPr="009745FB">
        <w:rPr>
          <w:sz w:val="24"/>
          <w:szCs w:val="24"/>
          <w:lang w:val="sr-Latn-RS"/>
        </w:rPr>
        <w:t xml:space="preserve"> su u informatoru bili navedeni podaci o odobrenom budžetu za tekuću </w:t>
      </w:r>
      <w:r w:rsidR="007B4147" w:rsidRPr="009745FB">
        <w:rPr>
          <w:sz w:val="24"/>
          <w:szCs w:val="24"/>
          <w:lang w:val="sr-Latn-RS"/>
        </w:rPr>
        <w:t>2015. g</w:t>
      </w:r>
      <w:r w:rsidRPr="009745FB">
        <w:rPr>
          <w:sz w:val="24"/>
          <w:szCs w:val="24"/>
          <w:lang w:val="sr-Latn-RS"/>
        </w:rPr>
        <w:t>odinu</w:t>
      </w:r>
      <w:r w:rsidR="007B4147" w:rsidRPr="009745FB">
        <w:rPr>
          <w:sz w:val="24"/>
          <w:szCs w:val="24"/>
          <w:lang w:val="sr-Latn-RS"/>
        </w:rPr>
        <w:t xml:space="preserve">, dok podatke o izvršenju </w:t>
      </w:r>
      <w:r w:rsidRPr="009745FB">
        <w:rPr>
          <w:sz w:val="24"/>
          <w:szCs w:val="24"/>
          <w:lang w:val="sr-Latn-RS"/>
        </w:rPr>
        <w:t>budžeta ili finansijskog plana koji se od</w:t>
      </w:r>
      <w:r w:rsidR="007B4147" w:rsidRPr="009745FB">
        <w:rPr>
          <w:sz w:val="24"/>
          <w:szCs w:val="24"/>
          <w:lang w:val="sr-Latn-RS"/>
        </w:rPr>
        <w:t>nose na tekuću godinu n</w:t>
      </w:r>
      <w:r w:rsidR="001F1A93" w:rsidRPr="009745FB">
        <w:rPr>
          <w:sz w:val="24"/>
          <w:szCs w:val="24"/>
          <w:lang w:val="sr-Latn-RS"/>
        </w:rPr>
        <w:t>ije imao</w:t>
      </w:r>
      <w:r w:rsidR="007B4147" w:rsidRPr="009745FB">
        <w:rPr>
          <w:sz w:val="24"/>
          <w:szCs w:val="24"/>
          <w:lang w:val="sr-Latn-RS"/>
        </w:rPr>
        <w:t xml:space="preserve"> ni jedan od organa obuhvaćenih uzorkom. </w:t>
      </w:r>
      <w:r w:rsidR="00E70A13" w:rsidRPr="009745FB">
        <w:rPr>
          <w:sz w:val="24"/>
          <w:szCs w:val="24"/>
          <w:lang w:val="sr-Latn-RS"/>
        </w:rPr>
        <w:t>Podaci o budž</w:t>
      </w:r>
      <w:r w:rsidR="007B4147" w:rsidRPr="009745FB">
        <w:rPr>
          <w:sz w:val="24"/>
          <w:szCs w:val="24"/>
          <w:lang w:val="sr-Latn-RS"/>
        </w:rPr>
        <w:t>etu i njegovom izvršenju s</w:t>
      </w:r>
      <w:r w:rsidR="0045229E">
        <w:rPr>
          <w:sz w:val="24"/>
          <w:szCs w:val="24"/>
          <w:lang w:val="sr-Latn-RS"/>
        </w:rPr>
        <w:t>u u najvećem broju slučajeva ne</w:t>
      </w:r>
      <w:r w:rsidR="007B4147" w:rsidRPr="009745FB">
        <w:rPr>
          <w:sz w:val="24"/>
          <w:szCs w:val="24"/>
          <w:lang w:val="sr-Latn-RS"/>
        </w:rPr>
        <w:t xml:space="preserve">ažurirani i stari i po nekoliko godina u nazad. </w:t>
      </w:r>
    </w:p>
    <w:p w:rsidR="00F8470E" w:rsidRPr="009745FB" w:rsidRDefault="00F8470E" w:rsidP="00505B39">
      <w:pPr>
        <w:jc w:val="both"/>
        <w:rPr>
          <w:sz w:val="24"/>
          <w:szCs w:val="24"/>
          <w:lang w:val="sr-Latn-RS"/>
        </w:rPr>
      </w:pPr>
    </w:p>
    <w:p w:rsidR="000C1858" w:rsidRPr="009745FB" w:rsidRDefault="006074A7" w:rsidP="000C1858">
      <w:pPr>
        <w:jc w:val="both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Podatke o reviziji budžeta ob</w:t>
      </w:r>
      <w:r w:rsidR="00F8470E" w:rsidRPr="009745FB">
        <w:rPr>
          <w:sz w:val="24"/>
          <w:szCs w:val="24"/>
          <w:lang w:val="sr-Latn-RS"/>
        </w:rPr>
        <w:t>j</w:t>
      </w:r>
      <w:r>
        <w:rPr>
          <w:sz w:val="24"/>
          <w:szCs w:val="24"/>
          <w:lang w:val="sr-Latn-RS"/>
        </w:rPr>
        <w:t>a</w:t>
      </w:r>
      <w:r w:rsidR="00F8470E" w:rsidRPr="009745FB">
        <w:rPr>
          <w:sz w:val="24"/>
          <w:szCs w:val="24"/>
          <w:lang w:val="sr-Latn-RS"/>
        </w:rPr>
        <w:t>vio je samo jedan organ u uzorku</w:t>
      </w:r>
      <w:r w:rsidR="00A44797">
        <w:rPr>
          <w:sz w:val="24"/>
          <w:szCs w:val="24"/>
          <w:lang w:val="sr-Latn-RS"/>
        </w:rPr>
        <w:t>,</w:t>
      </w:r>
      <w:r w:rsidR="00F8470E" w:rsidRPr="009745FB">
        <w:rPr>
          <w:sz w:val="24"/>
          <w:szCs w:val="24"/>
          <w:lang w:val="sr-Latn-RS"/>
        </w:rPr>
        <w:t xml:space="preserve"> iako </w:t>
      </w:r>
      <w:r w:rsidR="00A44797">
        <w:rPr>
          <w:sz w:val="24"/>
          <w:szCs w:val="24"/>
          <w:lang w:val="sr-Latn-RS"/>
        </w:rPr>
        <w:t>je sasvim izvesno da su i finansijski izveštaji mnogih drugih bili podvrgnuti reviziji (</w:t>
      </w:r>
      <w:r w:rsidR="00F8470E" w:rsidRPr="009745FB">
        <w:rPr>
          <w:sz w:val="24"/>
          <w:szCs w:val="24"/>
          <w:lang w:val="sr-Latn-RS"/>
        </w:rPr>
        <w:t xml:space="preserve">na </w:t>
      </w:r>
      <w:r w:rsidR="00A44797">
        <w:rPr>
          <w:sz w:val="24"/>
          <w:szCs w:val="24"/>
          <w:lang w:val="sr-Latn-RS"/>
        </w:rPr>
        <w:t>osnovu uvida u sajt</w:t>
      </w:r>
      <w:r w:rsidR="00F8470E" w:rsidRPr="009745FB">
        <w:rPr>
          <w:sz w:val="24"/>
          <w:szCs w:val="24"/>
          <w:lang w:val="sr-Latn-RS"/>
        </w:rPr>
        <w:t xml:space="preserve"> Državne revizorske institucije</w:t>
      </w:r>
      <w:r w:rsidR="00A44797">
        <w:rPr>
          <w:sz w:val="24"/>
          <w:szCs w:val="24"/>
          <w:lang w:val="sr-Latn-RS"/>
        </w:rPr>
        <w:t>).</w:t>
      </w:r>
    </w:p>
    <w:p w:rsidR="00F8470E" w:rsidRPr="009745FB" w:rsidRDefault="00F8470E" w:rsidP="00505B39">
      <w:pPr>
        <w:jc w:val="both"/>
        <w:rPr>
          <w:sz w:val="24"/>
          <w:szCs w:val="24"/>
          <w:lang w:val="sr-Latn-RS"/>
        </w:rPr>
      </w:pPr>
    </w:p>
    <w:p w:rsidR="008240FE" w:rsidRPr="009745FB" w:rsidRDefault="008240FE" w:rsidP="00505B39">
      <w:pPr>
        <w:jc w:val="both"/>
        <w:rPr>
          <w:i/>
          <w:sz w:val="24"/>
          <w:szCs w:val="24"/>
          <w:lang w:val="sr-Latn-RS"/>
        </w:rPr>
      </w:pPr>
      <w:r w:rsidRPr="009745FB">
        <w:rPr>
          <w:i/>
          <w:sz w:val="24"/>
          <w:szCs w:val="24"/>
          <w:lang w:val="sr-Latn-RS"/>
        </w:rPr>
        <w:t xml:space="preserve">Podaci o javnim nabavkama </w:t>
      </w:r>
    </w:p>
    <w:p w:rsidR="008240FE" w:rsidRPr="009745FB" w:rsidRDefault="008240FE" w:rsidP="00505B39">
      <w:pPr>
        <w:jc w:val="both"/>
        <w:rPr>
          <w:sz w:val="24"/>
          <w:szCs w:val="24"/>
          <w:lang w:val="sr-Latn-RS"/>
        </w:rPr>
      </w:pPr>
    </w:p>
    <w:p w:rsidR="00505B39" w:rsidRPr="009745FB" w:rsidRDefault="00AB0522" w:rsidP="00505B39">
      <w:pPr>
        <w:jc w:val="both"/>
        <w:rPr>
          <w:sz w:val="24"/>
          <w:szCs w:val="24"/>
          <w:lang w:val="sr-Latn-RS"/>
        </w:rPr>
      </w:pPr>
      <w:r w:rsidRPr="009745FB">
        <w:rPr>
          <w:sz w:val="24"/>
          <w:szCs w:val="24"/>
          <w:lang w:val="sr-Latn-RS"/>
        </w:rPr>
        <w:t xml:space="preserve">Podatke o planiranim </w:t>
      </w:r>
      <w:r w:rsidR="00505B39" w:rsidRPr="009745FB">
        <w:rPr>
          <w:sz w:val="24"/>
          <w:szCs w:val="24"/>
          <w:lang w:val="sr-Latn-RS"/>
        </w:rPr>
        <w:t>javnim nabavkama u 201</w:t>
      </w:r>
      <w:r w:rsidRPr="009745FB">
        <w:rPr>
          <w:sz w:val="24"/>
          <w:szCs w:val="24"/>
          <w:lang w:val="sr-Latn-RS"/>
        </w:rPr>
        <w:t>5</w:t>
      </w:r>
      <w:r w:rsidR="00C312CA" w:rsidRPr="009745FB">
        <w:rPr>
          <w:sz w:val="24"/>
          <w:szCs w:val="24"/>
          <w:lang w:val="sr-Latn-RS"/>
        </w:rPr>
        <w:t xml:space="preserve">. objavilo </w:t>
      </w:r>
      <w:r w:rsidR="00505B39" w:rsidRPr="009745FB">
        <w:rPr>
          <w:sz w:val="24"/>
          <w:szCs w:val="24"/>
          <w:lang w:val="sr-Latn-RS"/>
        </w:rPr>
        <w:t xml:space="preserve">je tek </w:t>
      </w:r>
      <w:r w:rsidR="00C312CA" w:rsidRPr="009745FB">
        <w:rPr>
          <w:sz w:val="24"/>
          <w:szCs w:val="24"/>
          <w:lang w:val="sr-Latn-RS"/>
        </w:rPr>
        <w:t xml:space="preserve">12% posmatranih organa, dok se podaci o oglašenim nabavkama u tekućoj godini mogu naći samo </w:t>
      </w:r>
      <w:r w:rsidR="00A44797">
        <w:rPr>
          <w:sz w:val="24"/>
          <w:szCs w:val="24"/>
          <w:lang w:val="sr-Latn-RS"/>
        </w:rPr>
        <w:t xml:space="preserve">izuzetno, </w:t>
      </w:r>
      <w:r w:rsidR="00C312CA" w:rsidRPr="009745FB">
        <w:rPr>
          <w:sz w:val="24"/>
          <w:szCs w:val="24"/>
          <w:lang w:val="sr-Latn-RS"/>
        </w:rPr>
        <w:t xml:space="preserve">i to ne u informatoru o radu, već u </w:t>
      </w:r>
      <w:r w:rsidR="00CC049F" w:rsidRPr="009745FB">
        <w:rPr>
          <w:sz w:val="24"/>
          <w:szCs w:val="24"/>
          <w:lang w:val="sr-Latn-RS"/>
        </w:rPr>
        <w:t>okviru posebne</w:t>
      </w:r>
      <w:r w:rsidR="00C312CA" w:rsidRPr="009745FB">
        <w:rPr>
          <w:sz w:val="24"/>
          <w:szCs w:val="24"/>
          <w:lang w:val="sr-Latn-RS"/>
        </w:rPr>
        <w:t xml:space="preserve"> sekcij</w:t>
      </w:r>
      <w:r w:rsidR="00CC049F" w:rsidRPr="009745FB">
        <w:rPr>
          <w:sz w:val="24"/>
          <w:szCs w:val="24"/>
          <w:lang w:val="sr-Latn-RS"/>
        </w:rPr>
        <w:t>e</w:t>
      </w:r>
      <w:r w:rsidR="00C312CA" w:rsidRPr="009745FB">
        <w:rPr>
          <w:sz w:val="24"/>
          <w:szCs w:val="24"/>
          <w:lang w:val="sr-Latn-RS"/>
        </w:rPr>
        <w:t xml:space="preserve"> sajta.</w:t>
      </w:r>
      <w:r w:rsidR="00A44797">
        <w:rPr>
          <w:sz w:val="24"/>
          <w:szCs w:val="24"/>
          <w:lang w:val="sr-Latn-RS"/>
        </w:rPr>
        <w:t xml:space="preserve"> </w:t>
      </w:r>
      <w:r w:rsidR="009D10A8" w:rsidRPr="009745FB">
        <w:rPr>
          <w:sz w:val="24"/>
          <w:szCs w:val="24"/>
          <w:lang w:val="sr-Latn-RS"/>
        </w:rPr>
        <w:t xml:space="preserve">Podatke o sprovedenim nabavkama u 2014. godini objavilo je samo 4 organa u posmatranom uzorku. </w:t>
      </w:r>
    </w:p>
    <w:p w:rsidR="008240FE" w:rsidRPr="009745FB" w:rsidRDefault="008240FE" w:rsidP="00505B39">
      <w:pPr>
        <w:jc w:val="both"/>
        <w:rPr>
          <w:b/>
          <w:sz w:val="24"/>
          <w:szCs w:val="24"/>
          <w:lang w:val="sr-Latn-RS"/>
        </w:rPr>
      </w:pPr>
    </w:p>
    <w:p w:rsidR="009D10A8" w:rsidRPr="009745FB" w:rsidRDefault="009D10A8" w:rsidP="00505B39">
      <w:pPr>
        <w:jc w:val="both"/>
        <w:rPr>
          <w:i/>
          <w:sz w:val="24"/>
          <w:szCs w:val="24"/>
          <w:lang w:val="sr-Latn-RS"/>
        </w:rPr>
      </w:pPr>
      <w:r w:rsidRPr="009745FB">
        <w:rPr>
          <w:i/>
          <w:sz w:val="24"/>
          <w:szCs w:val="24"/>
          <w:lang w:val="sr-Latn-RS"/>
        </w:rPr>
        <w:t xml:space="preserve">Podaci o državnoj pomoći </w:t>
      </w:r>
    </w:p>
    <w:p w:rsidR="009D10A8" w:rsidRPr="009745FB" w:rsidRDefault="009D10A8" w:rsidP="00505B39">
      <w:pPr>
        <w:jc w:val="both"/>
        <w:rPr>
          <w:b/>
          <w:sz w:val="24"/>
          <w:szCs w:val="24"/>
          <w:lang w:val="sr-Latn-RS"/>
        </w:rPr>
      </w:pPr>
    </w:p>
    <w:p w:rsidR="001250FE" w:rsidRPr="009745FB" w:rsidRDefault="001250FE" w:rsidP="00505B39">
      <w:pPr>
        <w:jc w:val="both"/>
        <w:rPr>
          <w:sz w:val="24"/>
          <w:szCs w:val="24"/>
          <w:lang w:val="sr-Latn-RS"/>
        </w:rPr>
      </w:pPr>
      <w:r w:rsidRPr="009745FB">
        <w:rPr>
          <w:b/>
          <w:sz w:val="24"/>
          <w:szCs w:val="24"/>
          <w:lang w:val="sr-Latn-RS"/>
        </w:rPr>
        <w:t xml:space="preserve">Tek </w:t>
      </w:r>
      <w:r w:rsidR="00323A47" w:rsidRPr="009745FB">
        <w:rPr>
          <w:b/>
          <w:sz w:val="24"/>
          <w:szCs w:val="24"/>
          <w:lang w:val="sr-Latn-RS"/>
        </w:rPr>
        <w:t>oko 45</w:t>
      </w:r>
      <w:r w:rsidRPr="009745FB">
        <w:rPr>
          <w:b/>
          <w:sz w:val="24"/>
          <w:szCs w:val="24"/>
          <w:lang w:val="sr-Latn-RS"/>
        </w:rPr>
        <w:t xml:space="preserve">% organa je, makar formalno, ispunilo svoju obavezu objavljivanja </w:t>
      </w:r>
      <w:r w:rsidRPr="009745FB">
        <w:rPr>
          <w:sz w:val="24"/>
          <w:szCs w:val="24"/>
          <w:lang w:val="sr-Latn-RS"/>
        </w:rPr>
        <w:t xml:space="preserve">podataka </w:t>
      </w:r>
      <w:r w:rsidR="00505B39" w:rsidRPr="009745FB">
        <w:rPr>
          <w:sz w:val="24"/>
          <w:szCs w:val="24"/>
          <w:lang w:val="sr-Latn-RS"/>
        </w:rPr>
        <w:t>o finansijskoj ili drugoj pomoći koju pružaju građanima i privrednim subjektima</w:t>
      </w:r>
      <w:r w:rsidRPr="009745FB">
        <w:rPr>
          <w:sz w:val="24"/>
          <w:szCs w:val="24"/>
          <w:lang w:val="sr-Latn-RS"/>
        </w:rPr>
        <w:t xml:space="preserve"> (subvencije, donacije i slično).</w:t>
      </w:r>
      <w:r w:rsidR="00707595" w:rsidRPr="009745FB">
        <w:rPr>
          <w:sz w:val="24"/>
          <w:szCs w:val="24"/>
          <w:lang w:val="sr-Latn-RS"/>
        </w:rPr>
        <w:t xml:space="preserve"> U ovoj kategoriji </w:t>
      </w:r>
      <w:r w:rsidR="00323A47" w:rsidRPr="009745FB">
        <w:rPr>
          <w:sz w:val="24"/>
          <w:szCs w:val="24"/>
          <w:lang w:val="sr-Latn-RS"/>
        </w:rPr>
        <w:t>u</w:t>
      </w:r>
      <w:r w:rsidR="00707595" w:rsidRPr="009745FB">
        <w:rPr>
          <w:sz w:val="24"/>
          <w:szCs w:val="24"/>
          <w:lang w:val="sr-Latn-RS"/>
        </w:rPr>
        <w:t>o</w:t>
      </w:r>
      <w:r w:rsidR="00323A47" w:rsidRPr="009745FB">
        <w:rPr>
          <w:sz w:val="24"/>
          <w:szCs w:val="24"/>
          <w:lang w:val="sr-Latn-RS"/>
        </w:rPr>
        <w:t xml:space="preserve">čljivo je veliko nerazumevanje koje podatke treba objaviti pa tako umesto da se u skladu sa Uputstvom objave podaci o državnoj pomoći koju je organ vlasti dodeljuje drugim licima, često se navode podaci o </w:t>
      </w:r>
      <w:r w:rsidR="00707595" w:rsidRPr="009745FB">
        <w:rPr>
          <w:sz w:val="24"/>
          <w:szCs w:val="24"/>
          <w:lang w:val="sr-Latn-RS"/>
        </w:rPr>
        <w:t>tome da organ vlast</w:t>
      </w:r>
      <w:r w:rsidR="00CC049F" w:rsidRPr="009745FB">
        <w:rPr>
          <w:sz w:val="24"/>
          <w:szCs w:val="24"/>
          <w:lang w:val="sr-Latn-RS"/>
        </w:rPr>
        <w:t xml:space="preserve">i nije primalac državne pomoći ili podaci o primljenim donacijama. </w:t>
      </w:r>
      <w:r w:rsidR="00707595" w:rsidRPr="009745FB">
        <w:rPr>
          <w:sz w:val="24"/>
          <w:szCs w:val="24"/>
          <w:lang w:val="sr-Latn-RS"/>
        </w:rPr>
        <w:t xml:space="preserve"> </w:t>
      </w:r>
    </w:p>
    <w:p w:rsidR="00505B39" w:rsidRPr="009745FB" w:rsidRDefault="00505B39" w:rsidP="00505B39">
      <w:pPr>
        <w:jc w:val="both"/>
        <w:rPr>
          <w:sz w:val="24"/>
          <w:szCs w:val="24"/>
          <w:lang w:val="sr-Latn-RS"/>
        </w:rPr>
      </w:pPr>
    </w:p>
    <w:p w:rsidR="00707595" w:rsidRPr="009745FB" w:rsidRDefault="00707595" w:rsidP="00505B39">
      <w:pPr>
        <w:jc w:val="both"/>
        <w:rPr>
          <w:i/>
          <w:sz w:val="24"/>
          <w:szCs w:val="24"/>
          <w:lang w:val="sr-Latn-RS"/>
        </w:rPr>
      </w:pPr>
      <w:r w:rsidRPr="009745FB">
        <w:rPr>
          <w:i/>
          <w:sz w:val="24"/>
          <w:szCs w:val="24"/>
          <w:lang w:val="sr-Latn-RS"/>
        </w:rPr>
        <w:t>Podaci o primljenim donacijama</w:t>
      </w:r>
    </w:p>
    <w:p w:rsidR="00707595" w:rsidRPr="009745FB" w:rsidRDefault="00707595" w:rsidP="00505B39">
      <w:pPr>
        <w:jc w:val="both"/>
        <w:rPr>
          <w:b/>
          <w:sz w:val="24"/>
          <w:szCs w:val="24"/>
          <w:lang w:val="sr-Latn-RS"/>
        </w:rPr>
      </w:pPr>
    </w:p>
    <w:p w:rsidR="00707595" w:rsidRPr="009745FB" w:rsidRDefault="00505B39" w:rsidP="00505B39">
      <w:pPr>
        <w:jc w:val="both"/>
        <w:rPr>
          <w:sz w:val="24"/>
          <w:szCs w:val="24"/>
          <w:lang w:val="sr-Latn-RS"/>
        </w:rPr>
      </w:pPr>
      <w:r w:rsidRPr="009745FB">
        <w:rPr>
          <w:sz w:val="24"/>
          <w:szCs w:val="24"/>
          <w:lang w:val="sr-Latn-RS"/>
        </w:rPr>
        <w:t xml:space="preserve">Podatke o donacijama koje su primili (bilo kakve) </w:t>
      </w:r>
      <w:r w:rsidR="00A44797">
        <w:rPr>
          <w:sz w:val="24"/>
          <w:szCs w:val="24"/>
          <w:lang w:val="sr-Latn-RS"/>
        </w:rPr>
        <w:t xml:space="preserve">u momentu analiziranja objavilo je </w:t>
      </w:r>
      <w:r w:rsidRPr="009745FB">
        <w:rPr>
          <w:sz w:val="24"/>
          <w:szCs w:val="24"/>
          <w:lang w:val="sr-Latn-RS"/>
        </w:rPr>
        <w:t>samo</w:t>
      </w:r>
      <w:r w:rsidR="003D620D" w:rsidRPr="009745FB">
        <w:rPr>
          <w:sz w:val="24"/>
          <w:szCs w:val="24"/>
          <w:lang w:val="sr-Latn-RS"/>
        </w:rPr>
        <w:t xml:space="preserve"> </w:t>
      </w:r>
      <w:r w:rsidR="00A44797">
        <w:rPr>
          <w:sz w:val="24"/>
          <w:szCs w:val="24"/>
          <w:lang w:val="sr-Latn-RS"/>
        </w:rPr>
        <w:t xml:space="preserve">¼ organa </w:t>
      </w:r>
      <w:r w:rsidR="00707595" w:rsidRPr="009745FB">
        <w:rPr>
          <w:sz w:val="24"/>
          <w:szCs w:val="24"/>
          <w:lang w:val="sr-Latn-RS"/>
        </w:rPr>
        <w:t>(</w:t>
      </w:r>
      <w:r w:rsidR="00A44797">
        <w:rPr>
          <w:sz w:val="24"/>
          <w:szCs w:val="24"/>
          <w:lang w:val="sr-Latn-RS"/>
        </w:rPr>
        <w:t xml:space="preserve">od čega jedan </w:t>
      </w:r>
      <w:r w:rsidR="00707595" w:rsidRPr="009745FB">
        <w:rPr>
          <w:sz w:val="24"/>
          <w:szCs w:val="24"/>
          <w:lang w:val="sr-Latn-RS"/>
        </w:rPr>
        <w:t>u okviru pogrešnog poglavlja</w:t>
      </w:r>
      <w:r w:rsidR="003D620D" w:rsidRPr="009745FB">
        <w:rPr>
          <w:sz w:val="24"/>
          <w:szCs w:val="24"/>
          <w:lang w:val="sr-Latn-RS"/>
        </w:rPr>
        <w:t xml:space="preserve">). </w:t>
      </w:r>
    </w:p>
    <w:p w:rsidR="001B734A" w:rsidRPr="009745FB" w:rsidRDefault="001B734A" w:rsidP="003D620D">
      <w:pPr>
        <w:jc w:val="both"/>
        <w:rPr>
          <w:bCs/>
          <w:sz w:val="24"/>
          <w:szCs w:val="24"/>
          <w:lang w:val="sr-Latn-RS"/>
        </w:rPr>
      </w:pPr>
    </w:p>
    <w:p w:rsidR="001B734A" w:rsidRPr="009745FB" w:rsidRDefault="001B734A" w:rsidP="001B734A">
      <w:pPr>
        <w:jc w:val="both"/>
        <w:rPr>
          <w:b/>
          <w:bCs/>
          <w:sz w:val="24"/>
          <w:szCs w:val="24"/>
          <w:lang w:val="sr-Latn-RS"/>
        </w:rPr>
      </w:pPr>
      <w:r w:rsidRPr="009745FB">
        <w:rPr>
          <w:b/>
          <w:bCs/>
          <w:sz w:val="24"/>
          <w:szCs w:val="24"/>
          <w:lang w:val="sr-Latn-RS"/>
        </w:rPr>
        <w:t xml:space="preserve">Informatori o radu ministarstava </w:t>
      </w:r>
    </w:p>
    <w:p w:rsidR="00CC049F" w:rsidRPr="009745FB" w:rsidRDefault="00CC049F" w:rsidP="008E107F">
      <w:pPr>
        <w:jc w:val="both"/>
        <w:rPr>
          <w:sz w:val="24"/>
          <w:szCs w:val="24"/>
          <w:lang w:val="sr-Latn-RS"/>
        </w:rPr>
      </w:pPr>
    </w:p>
    <w:p w:rsidR="00037748" w:rsidRPr="009745FB" w:rsidRDefault="00CC049F" w:rsidP="008E107F">
      <w:pPr>
        <w:jc w:val="both"/>
        <w:rPr>
          <w:sz w:val="24"/>
          <w:szCs w:val="24"/>
          <w:lang w:val="sr-Latn-RS"/>
        </w:rPr>
      </w:pPr>
      <w:r w:rsidRPr="009745FB">
        <w:rPr>
          <w:sz w:val="24"/>
          <w:szCs w:val="24"/>
          <w:lang w:val="sr-Latn-RS"/>
        </w:rPr>
        <w:t>Koliko se poštuje obaveza proaktivnog objavljivanja podataka u informatorima o radu i stepen njihove usaglašenosti</w:t>
      </w:r>
      <w:r w:rsidR="00037748" w:rsidRPr="009745FB">
        <w:rPr>
          <w:sz w:val="24"/>
          <w:szCs w:val="24"/>
          <w:lang w:val="sr-Latn-RS"/>
        </w:rPr>
        <w:t xml:space="preserve"> sa Uputstvom</w:t>
      </w:r>
      <w:r w:rsidRPr="009745FB">
        <w:rPr>
          <w:sz w:val="24"/>
          <w:szCs w:val="24"/>
          <w:lang w:val="sr-Latn-RS"/>
        </w:rPr>
        <w:t xml:space="preserve">, analizirali smo </w:t>
      </w:r>
      <w:r w:rsidR="00037748" w:rsidRPr="009745FB">
        <w:rPr>
          <w:sz w:val="24"/>
          <w:szCs w:val="24"/>
          <w:lang w:val="sr-Latn-RS"/>
        </w:rPr>
        <w:t>i na nivou ministarstava poredeći podatke iz marta 2015</w:t>
      </w:r>
      <w:r w:rsidR="00FE09F1">
        <w:rPr>
          <w:sz w:val="24"/>
          <w:szCs w:val="24"/>
          <w:lang w:val="sr-Latn-RS"/>
        </w:rPr>
        <w:t>.</w:t>
      </w:r>
      <w:r w:rsidR="00037748" w:rsidRPr="009745FB">
        <w:rPr>
          <w:sz w:val="24"/>
          <w:szCs w:val="24"/>
          <w:lang w:val="sr-Latn-RS"/>
        </w:rPr>
        <w:t xml:space="preserve"> sa stanjem od septembra 2013. godine. </w:t>
      </w:r>
    </w:p>
    <w:p w:rsidR="00037748" w:rsidRPr="009745FB" w:rsidRDefault="00037748" w:rsidP="008E107F">
      <w:pPr>
        <w:jc w:val="both"/>
        <w:rPr>
          <w:sz w:val="24"/>
          <w:szCs w:val="24"/>
          <w:lang w:val="sr-Latn-RS"/>
        </w:rPr>
      </w:pPr>
      <w:r w:rsidRPr="009745FB">
        <w:rPr>
          <w:sz w:val="24"/>
          <w:szCs w:val="24"/>
          <w:lang w:val="sr-Latn-RS"/>
        </w:rPr>
        <w:t xml:space="preserve"> </w:t>
      </w:r>
    </w:p>
    <w:p w:rsidR="001B734A" w:rsidRPr="009745FB" w:rsidRDefault="0052198C" w:rsidP="008E107F">
      <w:pPr>
        <w:jc w:val="both"/>
        <w:rPr>
          <w:sz w:val="24"/>
          <w:szCs w:val="24"/>
          <w:lang w:val="sr-Latn-RS"/>
        </w:rPr>
      </w:pPr>
      <w:r w:rsidRPr="009745FB">
        <w:rPr>
          <w:sz w:val="24"/>
          <w:szCs w:val="24"/>
          <w:lang w:val="sr-Latn-RS"/>
        </w:rPr>
        <w:t xml:space="preserve">Kada je u pitanju ažuriranost informatora </w:t>
      </w:r>
      <w:r w:rsidR="00037748" w:rsidRPr="009745FB">
        <w:rPr>
          <w:sz w:val="24"/>
          <w:szCs w:val="24"/>
          <w:lang w:val="sr-Latn-RS"/>
        </w:rPr>
        <w:t>o radu, situacija je nešto bolja na uzorku ministarstava</w:t>
      </w:r>
      <w:r w:rsidR="00FE09F1">
        <w:rPr>
          <w:sz w:val="24"/>
          <w:szCs w:val="24"/>
          <w:lang w:val="sr-Latn-RS"/>
        </w:rPr>
        <w:t xml:space="preserve"> nego kada su u pitanju drugi organi vlasti</w:t>
      </w:r>
      <w:r w:rsidR="00037748" w:rsidRPr="009745FB">
        <w:rPr>
          <w:sz w:val="24"/>
          <w:szCs w:val="24"/>
          <w:lang w:val="sr-Latn-RS"/>
        </w:rPr>
        <w:t xml:space="preserve">. </w:t>
      </w:r>
      <w:r w:rsidRPr="009745FB">
        <w:rPr>
          <w:sz w:val="24"/>
          <w:szCs w:val="24"/>
          <w:lang w:val="sr-Latn-RS"/>
        </w:rPr>
        <w:t>Od ukupno 16 ministarstava, 1</w:t>
      </w:r>
      <w:r w:rsidR="00BD0B14" w:rsidRPr="009745FB">
        <w:rPr>
          <w:sz w:val="24"/>
          <w:szCs w:val="24"/>
          <w:lang w:val="sr-Latn-RS"/>
        </w:rPr>
        <w:t>1</w:t>
      </w:r>
      <w:r w:rsidRPr="009745FB">
        <w:rPr>
          <w:sz w:val="24"/>
          <w:szCs w:val="24"/>
          <w:lang w:val="sr-Latn-RS"/>
        </w:rPr>
        <w:t xml:space="preserve"> ima informator ažuriran u poslednjih</w:t>
      </w:r>
      <w:r w:rsidR="00BD0B14" w:rsidRPr="009745FB">
        <w:rPr>
          <w:sz w:val="24"/>
          <w:szCs w:val="24"/>
          <w:lang w:val="sr-Latn-RS"/>
        </w:rPr>
        <w:t xml:space="preserve"> mesec dana, dok je preostalih 5 </w:t>
      </w:r>
      <w:r w:rsidRPr="009745FB">
        <w:rPr>
          <w:sz w:val="24"/>
          <w:szCs w:val="24"/>
          <w:lang w:val="sr-Latn-RS"/>
        </w:rPr>
        <w:t xml:space="preserve">ažurirano u poslednjih 2-6 meseci. </w:t>
      </w:r>
    </w:p>
    <w:p w:rsidR="00037748" w:rsidRPr="009745FB" w:rsidRDefault="00037748" w:rsidP="008E107F">
      <w:pPr>
        <w:jc w:val="both"/>
        <w:rPr>
          <w:sz w:val="24"/>
          <w:szCs w:val="24"/>
          <w:lang w:val="sr-Latn-RS"/>
        </w:rPr>
      </w:pPr>
    </w:p>
    <w:p w:rsidR="003725B6" w:rsidRPr="009745FB" w:rsidRDefault="003725B6" w:rsidP="003725B6">
      <w:pPr>
        <w:jc w:val="both"/>
        <w:rPr>
          <w:sz w:val="24"/>
          <w:szCs w:val="24"/>
          <w:lang w:val="sr-Latn-RS"/>
        </w:rPr>
      </w:pPr>
      <w:r w:rsidRPr="009745FB">
        <w:rPr>
          <w:sz w:val="24"/>
          <w:szCs w:val="24"/>
          <w:lang w:val="sr-Latn-RS"/>
        </w:rPr>
        <w:t>Podatke o odobrenom budžetu za 2015</w:t>
      </w:r>
      <w:r w:rsidR="00FE09F1">
        <w:rPr>
          <w:sz w:val="24"/>
          <w:szCs w:val="24"/>
          <w:lang w:val="sr-Latn-RS"/>
        </w:rPr>
        <w:t>.</w:t>
      </w:r>
      <w:r w:rsidRPr="009745FB">
        <w:rPr>
          <w:sz w:val="24"/>
          <w:szCs w:val="24"/>
          <w:lang w:val="sr-Latn-RS"/>
        </w:rPr>
        <w:t xml:space="preserve"> godinu ima</w:t>
      </w:r>
      <w:r w:rsidR="00FE09F1">
        <w:rPr>
          <w:sz w:val="24"/>
          <w:szCs w:val="24"/>
          <w:lang w:val="sr-Latn-RS"/>
        </w:rPr>
        <w:t>lo je</w:t>
      </w:r>
      <w:r w:rsidRPr="009745FB">
        <w:rPr>
          <w:sz w:val="24"/>
          <w:szCs w:val="24"/>
          <w:lang w:val="sr-Latn-RS"/>
        </w:rPr>
        <w:t xml:space="preserve"> 9 minstarstava, od ukupno 16.  Podatke o relizaciji budžeta ne starije od mesec dana ima 6 ministrstava, 4 ima podatke ne starije od 3 meseca, dok su kod preostalih 6 podaci stariji od 3 meseca. </w:t>
      </w:r>
    </w:p>
    <w:p w:rsidR="00FB4E22" w:rsidRPr="009745FB" w:rsidRDefault="00FB4E22" w:rsidP="003725B6">
      <w:pPr>
        <w:jc w:val="both"/>
        <w:rPr>
          <w:sz w:val="24"/>
          <w:szCs w:val="24"/>
          <w:lang w:val="sr-Latn-RS"/>
        </w:rPr>
      </w:pPr>
    </w:p>
    <w:p w:rsidR="00BA340C" w:rsidRPr="009745FB" w:rsidRDefault="00FB4E22" w:rsidP="003725B6">
      <w:pPr>
        <w:jc w:val="both"/>
        <w:rPr>
          <w:sz w:val="24"/>
          <w:szCs w:val="24"/>
          <w:lang w:val="sr-Latn-RS"/>
        </w:rPr>
      </w:pPr>
      <w:r w:rsidRPr="009745FB">
        <w:rPr>
          <w:sz w:val="24"/>
          <w:szCs w:val="24"/>
          <w:lang w:val="sr-Latn-RS"/>
        </w:rPr>
        <w:t>Podatk</w:t>
      </w:r>
      <w:r w:rsidR="00FE09F1">
        <w:rPr>
          <w:sz w:val="24"/>
          <w:szCs w:val="24"/>
          <w:lang w:val="sr-Latn-RS"/>
        </w:rPr>
        <w:t>e o reviziji budžeta navelo je 6</w:t>
      </w:r>
      <w:r w:rsidRPr="009745FB">
        <w:rPr>
          <w:sz w:val="24"/>
          <w:szCs w:val="24"/>
          <w:lang w:val="sr-Latn-RS"/>
        </w:rPr>
        <w:t xml:space="preserve"> ministarstava (navodeći link na sajt Državne revizorske institucije gde je objavljen izveštaj</w:t>
      </w:r>
      <w:r w:rsidR="00FE09F1">
        <w:rPr>
          <w:sz w:val="24"/>
          <w:szCs w:val="24"/>
          <w:lang w:val="sr-Latn-RS"/>
        </w:rPr>
        <w:t xml:space="preserve"> ili podatak o tome da nije bilo revizije</w:t>
      </w:r>
      <w:r w:rsidRPr="009745FB">
        <w:rPr>
          <w:sz w:val="24"/>
          <w:szCs w:val="24"/>
          <w:lang w:val="sr-Latn-RS"/>
        </w:rPr>
        <w:t xml:space="preserve">), dok preostalih 10 ministarstava </w:t>
      </w:r>
      <w:r w:rsidR="00BA340C" w:rsidRPr="009745FB">
        <w:rPr>
          <w:sz w:val="24"/>
          <w:szCs w:val="24"/>
          <w:lang w:val="sr-Latn-RS"/>
        </w:rPr>
        <w:t xml:space="preserve">ne navodi nikakve podatake u ovoj sekciji informatora. </w:t>
      </w:r>
    </w:p>
    <w:p w:rsidR="00BA340C" w:rsidRPr="009745FB" w:rsidRDefault="00BA340C" w:rsidP="00BA340C">
      <w:pPr>
        <w:jc w:val="both"/>
        <w:rPr>
          <w:sz w:val="24"/>
          <w:szCs w:val="24"/>
          <w:lang w:val="sr-Latn-RS"/>
        </w:rPr>
      </w:pPr>
    </w:p>
    <w:p w:rsidR="00BA340C" w:rsidRPr="009745FB" w:rsidRDefault="00BA340C" w:rsidP="00BA340C">
      <w:pPr>
        <w:jc w:val="both"/>
        <w:rPr>
          <w:sz w:val="24"/>
          <w:szCs w:val="24"/>
          <w:lang w:val="sr-Latn-RS"/>
        </w:rPr>
      </w:pPr>
      <w:r w:rsidRPr="009745FB">
        <w:rPr>
          <w:sz w:val="24"/>
          <w:szCs w:val="24"/>
          <w:lang w:val="sr-Latn-RS"/>
        </w:rPr>
        <w:t xml:space="preserve">Plan javnih nabavki za 2015. godinu u informatoru </w:t>
      </w:r>
      <w:r w:rsidR="00FE09F1">
        <w:rPr>
          <w:sz w:val="24"/>
          <w:szCs w:val="24"/>
          <w:lang w:val="sr-Latn-RS"/>
        </w:rPr>
        <w:t xml:space="preserve">je </w:t>
      </w:r>
      <w:r w:rsidRPr="009745FB">
        <w:rPr>
          <w:sz w:val="24"/>
          <w:szCs w:val="24"/>
          <w:lang w:val="sr-Latn-RS"/>
        </w:rPr>
        <w:t>ima</w:t>
      </w:r>
      <w:r w:rsidR="00FE09F1">
        <w:rPr>
          <w:sz w:val="24"/>
          <w:szCs w:val="24"/>
          <w:lang w:val="sr-Latn-RS"/>
        </w:rPr>
        <w:t>lo</w:t>
      </w:r>
      <w:r w:rsidRPr="009745FB">
        <w:rPr>
          <w:sz w:val="24"/>
          <w:szCs w:val="24"/>
          <w:lang w:val="sr-Latn-RS"/>
        </w:rPr>
        <w:t xml:space="preserve"> 7 ministarstava, 15 </w:t>
      </w:r>
      <w:r w:rsidR="00FE09F1">
        <w:rPr>
          <w:sz w:val="24"/>
          <w:szCs w:val="24"/>
          <w:lang w:val="sr-Latn-RS"/>
        </w:rPr>
        <w:t>je imalo</w:t>
      </w:r>
      <w:r w:rsidRPr="009745FB">
        <w:rPr>
          <w:sz w:val="24"/>
          <w:szCs w:val="24"/>
          <w:lang w:val="sr-Latn-RS"/>
        </w:rPr>
        <w:t xml:space="preserve"> plan nabavki za 2014. godinu, a 10 i za 2013. godinu.  </w:t>
      </w:r>
    </w:p>
    <w:p w:rsidR="007C2C06" w:rsidRPr="009745FB" w:rsidRDefault="007C2C06" w:rsidP="00BA340C">
      <w:pPr>
        <w:jc w:val="both"/>
        <w:rPr>
          <w:sz w:val="24"/>
          <w:szCs w:val="24"/>
          <w:lang w:val="sr-Latn-RS"/>
        </w:rPr>
      </w:pPr>
    </w:p>
    <w:p w:rsidR="007C2C06" w:rsidRDefault="007C2C06" w:rsidP="007C2C06">
      <w:pPr>
        <w:jc w:val="both"/>
        <w:rPr>
          <w:sz w:val="24"/>
          <w:szCs w:val="24"/>
          <w:lang w:val="sr-Latn-RS"/>
        </w:rPr>
      </w:pPr>
      <w:r w:rsidRPr="009745FB">
        <w:rPr>
          <w:sz w:val="24"/>
          <w:szCs w:val="24"/>
          <w:lang w:val="sr-Latn-RS"/>
        </w:rPr>
        <w:t>Pet</w:t>
      </w:r>
      <w:r w:rsidR="00BA340C" w:rsidRPr="009745FB">
        <w:rPr>
          <w:sz w:val="24"/>
          <w:szCs w:val="24"/>
          <w:lang w:val="sr-Latn-RS"/>
        </w:rPr>
        <w:t xml:space="preserve"> ministarstava </w:t>
      </w:r>
      <w:r w:rsidR="00FE09F1">
        <w:rPr>
          <w:sz w:val="24"/>
          <w:szCs w:val="24"/>
          <w:lang w:val="sr-Latn-RS"/>
        </w:rPr>
        <w:t xml:space="preserve">je </w:t>
      </w:r>
      <w:r w:rsidR="00BA340C" w:rsidRPr="009745FB">
        <w:rPr>
          <w:sz w:val="24"/>
          <w:szCs w:val="24"/>
          <w:lang w:val="sr-Latn-RS"/>
        </w:rPr>
        <w:t>ima</w:t>
      </w:r>
      <w:r w:rsidR="00FE09F1">
        <w:rPr>
          <w:sz w:val="24"/>
          <w:szCs w:val="24"/>
          <w:lang w:val="sr-Latn-RS"/>
        </w:rPr>
        <w:t>lo</w:t>
      </w:r>
      <w:r w:rsidR="00BA340C" w:rsidRPr="009745FB">
        <w:rPr>
          <w:sz w:val="24"/>
          <w:szCs w:val="24"/>
          <w:lang w:val="sr-Latn-RS"/>
        </w:rPr>
        <w:t xml:space="preserve"> podatke o sprovednim javnim nabavkama ažurirane </w:t>
      </w:r>
      <w:r w:rsidRPr="009745FB">
        <w:rPr>
          <w:sz w:val="24"/>
          <w:szCs w:val="24"/>
          <w:lang w:val="sr-Latn-RS"/>
        </w:rPr>
        <w:t>sa stanjem iz 2015. godine</w:t>
      </w:r>
      <w:r w:rsidR="00BA340C" w:rsidRPr="009745FB">
        <w:rPr>
          <w:sz w:val="24"/>
          <w:szCs w:val="24"/>
          <w:lang w:val="sr-Latn-RS"/>
        </w:rPr>
        <w:t xml:space="preserve">, </w:t>
      </w:r>
      <w:r w:rsidRPr="009745FB">
        <w:rPr>
          <w:sz w:val="24"/>
          <w:szCs w:val="24"/>
          <w:lang w:val="sr-Latn-RS"/>
        </w:rPr>
        <w:t xml:space="preserve">12 </w:t>
      </w:r>
      <w:r w:rsidR="00FE09F1">
        <w:rPr>
          <w:sz w:val="24"/>
          <w:szCs w:val="24"/>
          <w:lang w:val="sr-Latn-RS"/>
        </w:rPr>
        <w:t xml:space="preserve">ministarstva ima </w:t>
      </w:r>
      <w:r w:rsidR="00BA340C" w:rsidRPr="009745FB">
        <w:rPr>
          <w:sz w:val="24"/>
          <w:szCs w:val="24"/>
          <w:lang w:val="sr-Latn-RS"/>
        </w:rPr>
        <w:t>podatk</w:t>
      </w:r>
      <w:r w:rsidRPr="009745FB">
        <w:rPr>
          <w:sz w:val="24"/>
          <w:szCs w:val="24"/>
          <w:lang w:val="sr-Latn-RS"/>
        </w:rPr>
        <w:t>e o nabavkama sprovedenim u 2014</w:t>
      </w:r>
      <w:r w:rsidR="00BA340C" w:rsidRPr="009745FB">
        <w:rPr>
          <w:sz w:val="24"/>
          <w:szCs w:val="24"/>
          <w:lang w:val="sr-Latn-RS"/>
        </w:rPr>
        <w:t xml:space="preserve">. godini, </w:t>
      </w:r>
      <w:r w:rsidRPr="009745FB">
        <w:rPr>
          <w:sz w:val="24"/>
          <w:szCs w:val="24"/>
          <w:lang w:val="sr-Latn-RS"/>
        </w:rPr>
        <w:t>9 ministarstva podatke o nabavkama sprovedenim u 2013. godini.</w:t>
      </w:r>
    </w:p>
    <w:p w:rsidR="00FE09F1" w:rsidRPr="009745FB" w:rsidRDefault="00FE09F1" w:rsidP="007C2C06">
      <w:pPr>
        <w:jc w:val="both"/>
        <w:rPr>
          <w:sz w:val="24"/>
          <w:szCs w:val="24"/>
          <w:lang w:val="sr-Latn-RS"/>
        </w:rPr>
      </w:pPr>
    </w:p>
    <w:p w:rsidR="003725B6" w:rsidRPr="009745FB" w:rsidRDefault="002F7982" w:rsidP="008E107F">
      <w:pPr>
        <w:jc w:val="both"/>
        <w:rPr>
          <w:sz w:val="24"/>
          <w:szCs w:val="24"/>
          <w:lang w:val="sr-Latn-RS"/>
        </w:rPr>
      </w:pPr>
      <w:r w:rsidRPr="009745FB">
        <w:rPr>
          <w:sz w:val="24"/>
          <w:szCs w:val="24"/>
          <w:lang w:val="sr-Latn-RS"/>
        </w:rPr>
        <w:t>Iz svega navedenog se može videti da i dalje postoje ozbiljni problemi u ispunjavanju zakonskih obaveza proaktivnog objavljivanja informacija, ali takođe i da postoje slučajevi gde su informacije objavljene u informatoru znatno potpunije i ažurnije nego u odnosu na raniji period</w:t>
      </w:r>
      <w:r w:rsidR="001F1A93" w:rsidRPr="009745FB">
        <w:rPr>
          <w:sz w:val="24"/>
          <w:szCs w:val="24"/>
          <w:lang w:val="sr-Latn-RS"/>
        </w:rPr>
        <w:t>. K</w:t>
      </w:r>
      <w:r w:rsidRPr="009745FB">
        <w:rPr>
          <w:sz w:val="24"/>
          <w:szCs w:val="24"/>
          <w:lang w:val="sr-Latn-RS"/>
        </w:rPr>
        <w:t xml:space="preserve">ao </w:t>
      </w:r>
      <w:r w:rsidR="001F1A93" w:rsidRPr="009745FB">
        <w:rPr>
          <w:sz w:val="24"/>
          <w:szCs w:val="24"/>
          <w:lang w:val="sr-Latn-RS"/>
        </w:rPr>
        <w:t>p</w:t>
      </w:r>
      <w:r w:rsidRPr="009745FB">
        <w:rPr>
          <w:sz w:val="24"/>
          <w:szCs w:val="24"/>
          <w:lang w:val="sr-Latn-RS"/>
        </w:rPr>
        <w:t xml:space="preserve">rimer </w:t>
      </w:r>
      <w:r w:rsidR="001F1A93" w:rsidRPr="009745FB">
        <w:rPr>
          <w:sz w:val="24"/>
          <w:szCs w:val="24"/>
          <w:lang w:val="sr-Latn-RS"/>
        </w:rPr>
        <w:t>se može navesti Ministarstvo</w:t>
      </w:r>
      <w:r w:rsidRPr="009745FB">
        <w:rPr>
          <w:sz w:val="24"/>
          <w:szCs w:val="24"/>
          <w:lang w:val="sr-Latn-RS"/>
        </w:rPr>
        <w:t xml:space="preserve"> unutr</w:t>
      </w:r>
      <w:r w:rsidR="001F1A93" w:rsidRPr="009745FB">
        <w:rPr>
          <w:sz w:val="24"/>
          <w:szCs w:val="24"/>
          <w:lang w:val="sr-Latn-RS"/>
        </w:rPr>
        <w:t>ašnjih poslova, koje je prihvatilo</w:t>
      </w:r>
      <w:r w:rsidRPr="009745FB">
        <w:rPr>
          <w:sz w:val="24"/>
          <w:szCs w:val="24"/>
          <w:lang w:val="sr-Latn-RS"/>
        </w:rPr>
        <w:t xml:space="preserve"> preporuke koje smo </w:t>
      </w:r>
      <w:r w:rsidR="001F1A93" w:rsidRPr="009745FB">
        <w:rPr>
          <w:sz w:val="24"/>
          <w:szCs w:val="24"/>
          <w:lang w:val="sr-Latn-RS"/>
        </w:rPr>
        <w:t xml:space="preserve">im </w:t>
      </w:r>
      <w:r w:rsidRPr="009745FB">
        <w:rPr>
          <w:sz w:val="24"/>
          <w:szCs w:val="24"/>
          <w:lang w:val="sr-Latn-RS"/>
        </w:rPr>
        <w:t>uputili u pogledu potrebe da se informator usaglasi sa Uputstvom</w:t>
      </w:r>
      <w:r w:rsidR="001F1A93" w:rsidRPr="009745FB">
        <w:rPr>
          <w:sz w:val="24"/>
          <w:szCs w:val="24"/>
          <w:lang w:val="sr-Latn-RS"/>
        </w:rPr>
        <w:t xml:space="preserve"> i poboljšalo tekst ovog dokumenta</w:t>
      </w:r>
      <w:r w:rsidRPr="009745FB">
        <w:rPr>
          <w:sz w:val="24"/>
          <w:szCs w:val="24"/>
          <w:lang w:val="sr-Latn-RS"/>
        </w:rPr>
        <w:t xml:space="preserve">. </w:t>
      </w:r>
    </w:p>
    <w:p w:rsidR="00E604BA" w:rsidRDefault="00E604BA" w:rsidP="008E107F">
      <w:pPr>
        <w:jc w:val="both"/>
        <w:rPr>
          <w:b/>
          <w:bCs/>
          <w:sz w:val="24"/>
          <w:szCs w:val="24"/>
          <w:lang w:val="sr-Latn-RS"/>
        </w:rPr>
      </w:pPr>
    </w:p>
    <w:p w:rsidR="00C00D9A" w:rsidRDefault="00452BD0" w:rsidP="008E107F">
      <w:pPr>
        <w:jc w:val="both"/>
        <w:rPr>
          <w:rFonts w:eastAsia="Calibri"/>
          <w:iCs/>
          <w:sz w:val="24"/>
          <w:szCs w:val="24"/>
          <w:lang w:val="sr-Latn-RS" w:eastAsia="en-US"/>
        </w:rPr>
      </w:pPr>
      <w:r w:rsidRPr="009745FB">
        <w:rPr>
          <w:rFonts w:eastAsia="Calibri"/>
          <w:iCs/>
          <w:sz w:val="24"/>
          <w:szCs w:val="24"/>
          <w:lang w:val="sr-Latn-RS" w:eastAsia="en-US"/>
        </w:rPr>
        <w:t xml:space="preserve">Poseban </w:t>
      </w:r>
      <w:r w:rsidR="00C00D9A" w:rsidRPr="009745FB">
        <w:rPr>
          <w:rFonts w:eastAsia="Calibri"/>
          <w:iCs/>
          <w:sz w:val="24"/>
          <w:szCs w:val="24"/>
          <w:lang w:val="sr-Latn-RS" w:eastAsia="en-US"/>
        </w:rPr>
        <w:t>problem jeste situacija, koja i dalje postoji, da informatora o radu uopšte nema. Prema godišnjem Izveštaju Poverenika</w:t>
      </w:r>
      <w:r w:rsidRPr="009745FB">
        <w:rPr>
          <w:rStyle w:val="FootnoteReference"/>
          <w:rFonts w:eastAsia="Calibri"/>
          <w:iCs/>
          <w:sz w:val="24"/>
          <w:szCs w:val="24"/>
          <w:lang w:val="sr-Latn-RS" w:eastAsia="en-US"/>
        </w:rPr>
        <w:footnoteReference w:id="2"/>
      </w:r>
      <w:r w:rsidR="00C00D9A" w:rsidRPr="009745FB">
        <w:rPr>
          <w:rFonts w:eastAsia="Calibri"/>
          <w:iCs/>
          <w:sz w:val="24"/>
          <w:szCs w:val="24"/>
          <w:lang w:val="sr-Latn-RS" w:eastAsia="en-US"/>
        </w:rPr>
        <w:t xml:space="preserve"> informator nije izradilo </w:t>
      </w:r>
      <w:r w:rsidRPr="009745FB">
        <w:rPr>
          <w:rFonts w:eastAsia="Calibri"/>
          <w:iCs/>
          <w:sz w:val="24"/>
          <w:szCs w:val="24"/>
          <w:lang w:val="sr-Latn-RS" w:eastAsia="en-US"/>
        </w:rPr>
        <w:t>20,2% sudova, 75,3</w:t>
      </w:r>
      <w:r w:rsidR="00C00D9A" w:rsidRPr="009745FB">
        <w:rPr>
          <w:rFonts w:eastAsia="Calibri"/>
          <w:iCs/>
          <w:sz w:val="24"/>
          <w:szCs w:val="24"/>
          <w:lang w:val="sr-Latn-RS" w:eastAsia="en-US"/>
        </w:rPr>
        <w:t xml:space="preserve">% javnih tužilaštava, </w:t>
      </w:r>
      <w:r w:rsidRPr="009745FB">
        <w:rPr>
          <w:rFonts w:eastAsia="Calibri"/>
          <w:iCs/>
          <w:sz w:val="24"/>
          <w:szCs w:val="24"/>
          <w:lang w:val="sr-Latn-RS" w:eastAsia="en-US"/>
        </w:rPr>
        <w:t>33,3</w:t>
      </w:r>
      <w:r w:rsidR="00C00D9A" w:rsidRPr="009745FB">
        <w:rPr>
          <w:rFonts w:eastAsia="Calibri"/>
          <w:iCs/>
          <w:sz w:val="24"/>
          <w:szCs w:val="24"/>
          <w:lang w:val="sr-Latn-RS" w:eastAsia="en-US"/>
        </w:rPr>
        <w:t xml:space="preserve">% pokrajinskih organa, </w:t>
      </w:r>
      <w:r w:rsidRPr="009745FB">
        <w:rPr>
          <w:rFonts w:eastAsia="Calibri"/>
          <w:iCs/>
          <w:sz w:val="24"/>
          <w:szCs w:val="24"/>
          <w:lang w:val="sr-Latn-RS" w:eastAsia="en-US"/>
        </w:rPr>
        <w:t>26,5% gradova i opština, 18,2</w:t>
      </w:r>
      <w:r w:rsidR="00C00D9A" w:rsidRPr="009745FB">
        <w:rPr>
          <w:rFonts w:eastAsia="Calibri"/>
          <w:iCs/>
          <w:sz w:val="24"/>
          <w:szCs w:val="24"/>
          <w:lang w:val="sr-Latn-RS" w:eastAsia="en-US"/>
        </w:rPr>
        <w:t xml:space="preserve">% javnih preduzeća i čak </w:t>
      </w:r>
      <w:r w:rsidRPr="009745FB">
        <w:rPr>
          <w:rFonts w:eastAsia="Calibri"/>
          <w:iCs/>
          <w:sz w:val="24"/>
          <w:szCs w:val="24"/>
          <w:lang w:val="sr-Latn-RS" w:eastAsia="en-US"/>
        </w:rPr>
        <w:t>89,2</w:t>
      </w:r>
      <w:r w:rsidR="00C00D9A" w:rsidRPr="009745FB">
        <w:rPr>
          <w:rFonts w:eastAsia="Calibri"/>
          <w:iCs/>
          <w:sz w:val="24"/>
          <w:szCs w:val="24"/>
          <w:lang w:val="sr-Latn-RS" w:eastAsia="en-US"/>
        </w:rPr>
        <w:t>% drugih organa.</w:t>
      </w:r>
    </w:p>
    <w:p w:rsidR="00FE09F1" w:rsidRPr="009745FB" w:rsidRDefault="00FE09F1" w:rsidP="008E107F">
      <w:pPr>
        <w:jc w:val="both"/>
        <w:rPr>
          <w:sz w:val="24"/>
          <w:szCs w:val="24"/>
          <w:lang w:val="sr-Latn-RS"/>
        </w:rPr>
      </w:pPr>
    </w:p>
    <w:p w:rsidR="00D51FC0" w:rsidRPr="009745FB" w:rsidRDefault="00D51FC0" w:rsidP="00B61FC3">
      <w:pPr>
        <w:jc w:val="both"/>
        <w:rPr>
          <w:sz w:val="24"/>
          <w:szCs w:val="24"/>
          <w:lang w:val="sr-Latn-RS" w:eastAsia="en-US"/>
        </w:rPr>
      </w:pPr>
      <w:r w:rsidRPr="009745FB">
        <w:rPr>
          <w:sz w:val="24"/>
          <w:szCs w:val="24"/>
          <w:lang w:val="sr-Latn-RS"/>
        </w:rPr>
        <w:t>Nadzor</w:t>
      </w:r>
      <w:r w:rsidR="00A96956" w:rsidRPr="009745FB">
        <w:rPr>
          <w:sz w:val="24"/>
          <w:szCs w:val="24"/>
          <w:lang w:val="sr-Latn-RS"/>
        </w:rPr>
        <w:t xml:space="preserve"> </w:t>
      </w:r>
      <w:r w:rsidRPr="009745FB">
        <w:rPr>
          <w:sz w:val="24"/>
          <w:szCs w:val="24"/>
          <w:lang w:val="sr-Latn-RS"/>
        </w:rPr>
        <w:t>nad</w:t>
      </w:r>
      <w:r w:rsidR="00A96956" w:rsidRPr="009745FB">
        <w:rPr>
          <w:sz w:val="24"/>
          <w:szCs w:val="24"/>
          <w:lang w:val="sr-Latn-RS"/>
        </w:rPr>
        <w:t xml:space="preserve"> </w:t>
      </w:r>
      <w:r w:rsidRPr="009745FB">
        <w:rPr>
          <w:sz w:val="24"/>
          <w:szCs w:val="24"/>
          <w:lang w:val="sr-Latn-RS"/>
        </w:rPr>
        <w:t>sprovođenjem</w:t>
      </w:r>
      <w:r w:rsidR="00A96956" w:rsidRPr="009745FB">
        <w:rPr>
          <w:sz w:val="24"/>
          <w:szCs w:val="24"/>
          <w:lang w:val="sr-Latn-RS"/>
        </w:rPr>
        <w:t xml:space="preserve"> </w:t>
      </w:r>
      <w:r w:rsidRPr="009745FB">
        <w:rPr>
          <w:sz w:val="24"/>
          <w:szCs w:val="24"/>
          <w:lang w:val="sr-Latn-RS"/>
        </w:rPr>
        <w:t>Zakona</w:t>
      </w:r>
      <w:r w:rsidR="00A96956" w:rsidRPr="009745FB">
        <w:rPr>
          <w:sz w:val="24"/>
          <w:szCs w:val="24"/>
          <w:lang w:val="sr-Latn-RS"/>
        </w:rPr>
        <w:t xml:space="preserve"> </w:t>
      </w:r>
      <w:r w:rsidRPr="009745FB">
        <w:rPr>
          <w:sz w:val="24"/>
          <w:szCs w:val="24"/>
          <w:lang w:val="sr-Latn-RS"/>
        </w:rPr>
        <w:t>o</w:t>
      </w:r>
      <w:r w:rsidR="00A96956" w:rsidRPr="009745FB">
        <w:rPr>
          <w:sz w:val="24"/>
          <w:szCs w:val="24"/>
          <w:lang w:val="sr-Latn-RS"/>
        </w:rPr>
        <w:t xml:space="preserve"> slobodnom </w:t>
      </w:r>
      <w:r w:rsidRPr="009745FB">
        <w:rPr>
          <w:sz w:val="24"/>
          <w:szCs w:val="24"/>
          <w:lang w:val="sr-Latn-RS"/>
        </w:rPr>
        <w:t>pristupu</w:t>
      </w:r>
      <w:r w:rsidR="00A96956" w:rsidRPr="009745FB">
        <w:rPr>
          <w:sz w:val="24"/>
          <w:szCs w:val="24"/>
          <w:lang w:val="sr-Latn-RS"/>
        </w:rPr>
        <w:t xml:space="preserve"> </w:t>
      </w:r>
      <w:r w:rsidRPr="009745FB">
        <w:rPr>
          <w:sz w:val="24"/>
          <w:szCs w:val="24"/>
          <w:lang w:val="sr-Latn-RS"/>
        </w:rPr>
        <w:t>informacija</w:t>
      </w:r>
      <w:r w:rsidR="00A96956" w:rsidRPr="009745FB">
        <w:rPr>
          <w:sz w:val="24"/>
          <w:szCs w:val="24"/>
          <w:lang w:val="sr-Latn-RS"/>
        </w:rPr>
        <w:t xml:space="preserve">ma od javnog značaja </w:t>
      </w:r>
      <w:r w:rsidRPr="009745FB">
        <w:rPr>
          <w:sz w:val="24"/>
          <w:szCs w:val="24"/>
          <w:lang w:val="sr-Latn-RS"/>
        </w:rPr>
        <w:t>u</w:t>
      </w:r>
      <w:r w:rsidR="00A96956" w:rsidRPr="009745FB">
        <w:rPr>
          <w:sz w:val="24"/>
          <w:szCs w:val="24"/>
          <w:lang w:val="sr-Latn-RS"/>
        </w:rPr>
        <w:t xml:space="preserve"> </w:t>
      </w:r>
      <w:r w:rsidRPr="009745FB">
        <w:rPr>
          <w:sz w:val="24"/>
          <w:szCs w:val="24"/>
          <w:lang w:val="sr-Latn-RS"/>
        </w:rPr>
        <w:t>nadležnosti</w:t>
      </w:r>
      <w:r w:rsidR="00A96956" w:rsidRPr="009745FB">
        <w:rPr>
          <w:sz w:val="24"/>
          <w:szCs w:val="24"/>
          <w:lang w:val="sr-Latn-RS"/>
        </w:rPr>
        <w:t xml:space="preserve"> </w:t>
      </w:r>
      <w:r w:rsidRPr="009745FB">
        <w:rPr>
          <w:sz w:val="24"/>
          <w:szCs w:val="24"/>
          <w:lang w:val="sr-Latn-RS"/>
        </w:rPr>
        <w:t>je</w:t>
      </w:r>
      <w:r w:rsidR="00A96956" w:rsidRPr="009745FB">
        <w:rPr>
          <w:sz w:val="24"/>
          <w:szCs w:val="24"/>
          <w:lang w:val="sr-Latn-RS"/>
        </w:rPr>
        <w:t xml:space="preserve"> </w:t>
      </w:r>
      <w:r w:rsidRPr="009745FB">
        <w:rPr>
          <w:sz w:val="24"/>
          <w:szCs w:val="24"/>
          <w:lang w:val="sr-Latn-RS"/>
        </w:rPr>
        <w:t>Upravne</w:t>
      </w:r>
      <w:r w:rsidR="00A96956" w:rsidRPr="009745FB">
        <w:rPr>
          <w:sz w:val="24"/>
          <w:szCs w:val="24"/>
          <w:lang w:val="sr-Latn-RS"/>
        </w:rPr>
        <w:t xml:space="preserve"> </w:t>
      </w:r>
      <w:r w:rsidRPr="009745FB">
        <w:rPr>
          <w:sz w:val="24"/>
          <w:szCs w:val="24"/>
          <w:lang w:val="sr-Latn-RS"/>
        </w:rPr>
        <w:t>inspekcije</w:t>
      </w:r>
      <w:r w:rsidR="00A96956" w:rsidRPr="009745FB">
        <w:rPr>
          <w:sz w:val="24"/>
          <w:szCs w:val="24"/>
          <w:lang w:val="sr-Latn-RS"/>
        </w:rPr>
        <w:t xml:space="preserve">, </w:t>
      </w:r>
      <w:r w:rsidRPr="009745FB">
        <w:rPr>
          <w:sz w:val="24"/>
          <w:szCs w:val="24"/>
          <w:lang w:val="sr-Latn-RS"/>
        </w:rPr>
        <w:t>organ</w:t>
      </w:r>
      <w:r w:rsidR="00A96956" w:rsidRPr="009745FB">
        <w:rPr>
          <w:sz w:val="24"/>
          <w:szCs w:val="24"/>
          <w:lang w:val="sr-Latn-RS"/>
        </w:rPr>
        <w:t xml:space="preserve">a </w:t>
      </w:r>
      <w:r w:rsidRPr="009745FB">
        <w:rPr>
          <w:sz w:val="24"/>
          <w:szCs w:val="24"/>
          <w:lang w:val="sr-Latn-RS"/>
        </w:rPr>
        <w:t>uprave</w:t>
      </w:r>
      <w:r w:rsidR="00A96956" w:rsidRPr="009745FB">
        <w:rPr>
          <w:sz w:val="24"/>
          <w:szCs w:val="24"/>
          <w:lang w:val="sr-Latn-RS"/>
        </w:rPr>
        <w:t xml:space="preserve"> </w:t>
      </w:r>
      <w:r w:rsidRPr="009745FB">
        <w:rPr>
          <w:sz w:val="24"/>
          <w:szCs w:val="24"/>
          <w:lang w:val="sr-Latn-RS"/>
        </w:rPr>
        <w:t>u</w:t>
      </w:r>
      <w:r w:rsidR="00A96956" w:rsidRPr="009745FB">
        <w:rPr>
          <w:sz w:val="24"/>
          <w:szCs w:val="24"/>
          <w:lang w:val="sr-Latn-RS"/>
        </w:rPr>
        <w:t xml:space="preserve"> </w:t>
      </w:r>
      <w:r w:rsidRPr="009745FB">
        <w:rPr>
          <w:sz w:val="24"/>
          <w:szCs w:val="24"/>
          <w:lang w:val="sr-Latn-RS"/>
        </w:rPr>
        <w:t>sastavu</w:t>
      </w:r>
      <w:r w:rsidR="00A96956" w:rsidRPr="009745FB">
        <w:rPr>
          <w:sz w:val="24"/>
          <w:szCs w:val="24"/>
          <w:lang w:val="sr-Latn-RS"/>
        </w:rPr>
        <w:t xml:space="preserve"> </w:t>
      </w:r>
      <w:r w:rsidRPr="009745FB">
        <w:rPr>
          <w:sz w:val="24"/>
          <w:szCs w:val="24"/>
          <w:lang w:val="sr-Latn-RS"/>
        </w:rPr>
        <w:t>Ministarstva</w:t>
      </w:r>
      <w:r w:rsidR="00A96956" w:rsidRPr="009745FB">
        <w:rPr>
          <w:sz w:val="24"/>
          <w:szCs w:val="24"/>
          <w:lang w:val="sr-Latn-RS"/>
        </w:rPr>
        <w:t xml:space="preserve"> </w:t>
      </w:r>
      <w:r w:rsidRPr="009745FB">
        <w:rPr>
          <w:sz w:val="24"/>
          <w:szCs w:val="24"/>
          <w:lang w:val="sr-Latn-RS"/>
        </w:rPr>
        <w:t>državne</w:t>
      </w:r>
      <w:r w:rsidR="00A96956" w:rsidRPr="009745FB">
        <w:rPr>
          <w:sz w:val="24"/>
          <w:szCs w:val="24"/>
          <w:lang w:val="sr-Latn-RS"/>
        </w:rPr>
        <w:t xml:space="preserve"> </w:t>
      </w:r>
      <w:r w:rsidRPr="009745FB">
        <w:rPr>
          <w:sz w:val="24"/>
          <w:szCs w:val="24"/>
          <w:lang w:val="sr-Latn-RS"/>
        </w:rPr>
        <w:t>uprave</w:t>
      </w:r>
      <w:r w:rsidR="00A96956" w:rsidRPr="009745FB">
        <w:rPr>
          <w:sz w:val="24"/>
          <w:szCs w:val="24"/>
          <w:lang w:val="sr-Latn-RS"/>
        </w:rPr>
        <w:t xml:space="preserve"> </w:t>
      </w:r>
      <w:r w:rsidRPr="009745FB">
        <w:rPr>
          <w:sz w:val="24"/>
          <w:szCs w:val="24"/>
          <w:lang w:val="sr-Latn-RS"/>
        </w:rPr>
        <w:t>i</w:t>
      </w:r>
      <w:r w:rsidR="00A96956" w:rsidRPr="009745FB">
        <w:rPr>
          <w:sz w:val="24"/>
          <w:szCs w:val="24"/>
          <w:lang w:val="sr-Latn-RS"/>
        </w:rPr>
        <w:t xml:space="preserve"> </w:t>
      </w:r>
      <w:r w:rsidRPr="009745FB">
        <w:rPr>
          <w:sz w:val="24"/>
          <w:szCs w:val="24"/>
          <w:lang w:val="sr-Latn-RS"/>
        </w:rPr>
        <w:t>lokalne</w:t>
      </w:r>
      <w:r w:rsidR="00A96956" w:rsidRPr="009745FB">
        <w:rPr>
          <w:sz w:val="24"/>
          <w:szCs w:val="24"/>
          <w:lang w:val="sr-Latn-RS"/>
        </w:rPr>
        <w:t xml:space="preserve"> </w:t>
      </w:r>
      <w:r w:rsidRPr="009745FB">
        <w:rPr>
          <w:sz w:val="24"/>
          <w:szCs w:val="24"/>
          <w:lang w:val="sr-Latn-RS"/>
        </w:rPr>
        <w:t>samouprave</w:t>
      </w:r>
      <w:r w:rsidR="00A96956" w:rsidRPr="009745FB">
        <w:rPr>
          <w:sz w:val="24"/>
          <w:szCs w:val="24"/>
          <w:lang w:val="sr-Latn-RS"/>
        </w:rPr>
        <w:t xml:space="preserve">. </w:t>
      </w:r>
      <w:r w:rsidRPr="009745FB">
        <w:rPr>
          <w:sz w:val="24"/>
          <w:szCs w:val="24"/>
          <w:lang w:val="sr-Latn-RS" w:eastAsia="en-US"/>
        </w:rPr>
        <w:t>Upravna inspekcija je, kako se navodi u njihovom Izveštaju</w:t>
      </w:r>
      <w:r w:rsidRPr="009745FB">
        <w:rPr>
          <w:sz w:val="24"/>
          <w:szCs w:val="24"/>
          <w:vertAlign w:val="superscript"/>
          <w:lang w:val="sr-Latn-RS" w:eastAsia="en-US"/>
        </w:rPr>
        <w:footnoteReference w:id="3"/>
      </w:r>
      <w:r w:rsidRPr="009745FB">
        <w:rPr>
          <w:sz w:val="24"/>
          <w:szCs w:val="24"/>
          <w:lang w:val="sr-Latn-RS" w:eastAsia="en-US"/>
        </w:rPr>
        <w:t>, u 2014. godini izvršila 147 inspekcijskih nadzora u pogledu sprovođenja obaveze podnošenja izveštaja i objavljivanja informatora o radu, od čega 144 u jedinicama lokalne samouprave. Upravna inspekcija je, kako stoji u Izveštaju, podnela 4 zahteva za pokretanje prekršajnog postupka, bez navođenja organa protiv kojih su zahtevi podneti. Služba Poverenika raspolaže informacijama za podnete zahteve u tri slučaja: protiv načelnika Opštinske uprave opštine Odžaci, zbog propuštanja da podnese godišnji izveštaj Povereniku, protiv predsednika Nacionalnog saveta za visoko obrazovanje, zbog propuštanja da objavi Informator o radu u skladu sa zakonom i jedan zahtev protiv načelnika Opštinske uprave za finansije grada Niša, zbog nepostupanja po rešenju Poverenika kojim je naloženo da objavi Informator o radu u skladu sa zakonom.</w:t>
      </w:r>
      <w:r w:rsidR="00B61FC3" w:rsidRPr="009745FB">
        <w:rPr>
          <w:sz w:val="24"/>
          <w:szCs w:val="24"/>
          <w:lang w:val="sr-Latn-RS" w:eastAsia="en-US"/>
        </w:rPr>
        <w:t xml:space="preserve"> Tome treba dodati i podatak da u periodu 2011-2013. godine Upravna inspekcija nije podnela nijedan zahtev za pokretanje prekršajnog postupka.</w:t>
      </w:r>
      <w:r w:rsidRPr="009745FB">
        <w:rPr>
          <w:rStyle w:val="FootnoteReference"/>
          <w:sz w:val="24"/>
          <w:szCs w:val="24"/>
          <w:lang w:val="sr-Latn-RS" w:eastAsia="en-US"/>
        </w:rPr>
        <w:footnoteReference w:id="4"/>
      </w:r>
      <w:r w:rsidRPr="009745FB">
        <w:rPr>
          <w:sz w:val="24"/>
          <w:szCs w:val="24"/>
          <w:lang w:val="sr-Latn-RS" w:eastAsia="en-US"/>
        </w:rPr>
        <w:t xml:space="preserve"> </w:t>
      </w:r>
    </w:p>
    <w:p w:rsidR="00B61FC3" w:rsidRPr="009745FB" w:rsidRDefault="00B61FC3" w:rsidP="00D51FC0">
      <w:pPr>
        <w:suppressAutoHyphens w:val="0"/>
        <w:jc w:val="both"/>
        <w:rPr>
          <w:sz w:val="24"/>
          <w:szCs w:val="24"/>
          <w:lang w:val="sr-Latn-RS" w:eastAsia="en-US"/>
        </w:rPr>
      </w:pPr>
    </w:p>
    <w:p w:rsidR="00452BD0" w:rsidRPr="009745FB" w:rsidRDefault="00452BD0" w:rsidP="00D51FC0">
      <w:pPr>
        <w:suppressAutoHyphens w:val="0"/>
        <w:jc w:val="both"/>
        <w:rPr>
          <w:rFonts w:eastAsia="Calibri"/>
          <w:sz w:val="24"/>
          <w:szCs w:val="24"/>
          <w:lang w:val="sr-Latn-RS" w:eastAsia="en-US"/>
        </w:rPr>
      </w:pPr>
      <w:r w:rsidRPr="009745FB">
        <w:rPr>
          <w:rStyle w:val="Emphasis"/>
          <w:i w:val="0"/>
          <w:sz w:val="24"/>
          <w:szCs w:val="24"/>
          <w:lang w:val="sr-Latn-RS"/>
        </w:rPr>
        <w:t xml:space="preserve">Rezultati istraživanja jasno ukazuju na potrebu da se obezbedi pokretanje postupaka protiv organa koji drastično krše obaveze. </w:t>
      </w:r>
      <w:r w:rsidR="000E4CC9" w:rsidRPr="009745FB">
        <w:rPr>
          <w:rFonts w:eastAsia="Calibri"/>
          <w:iCs/>
          <w:sz w:val="24"/>
          <w:szCs w:val="24"/>
          <w:lang w:val="sr-Latn-RS" w:eastAsia="en-US"/>
        </w:rPr>
        <w:t>Jedan od načina da se to postigne je</w:t>
      </w:r>
      <w:r w:rsidR="000547AA" w:rsidRPr="009745FB">
        <w:rPr>
          <w:rFonts w:eastAsia="Calibri"/>
          <w:iCs/>
          <w:sz w:val="24"/>
          <w:szCs w:val="24"/>
          <w:lang w:val="sr-Latn-RS" w:eastAsia="en-US"/>
        </w:rPr>
        <w:t xml:space="preserve"> da se što pre pristupi</w:t>
      </w:r>
      <w:r w:rsidR="000E4CC9" w:rsidRPr="009745FB">
        <w:rPr>
          <w:rFonts w:eastAsia="Calibri"/>
          <w:iCs/>
          <w:sz w:val="24"/>
          <w:szCs w:val="24"/>
          <w:lang w:val="sr-Latn-RS" w:eastAsia="en-US"/>
        </w:rPr>
        <w:t xml:space="preserve"> izmena</w:t>
      </w:r>
      <w:r w:rsidR="000547AA" w:rsidRPr="009745FB">
        <w:rPr>
          <w:rFonts w:eastAsia="Calibri"/>
          <w:iCs/>
          <w:sz w:val="24"/>
          <w:szCs w:val="24"/>
          <w:lang w:val="sr-Latn-RS" w:eastAsia="en-US"/>
        </w:rPr>
        <w:t>ma</w:t>
      </w:r>
      <w:r w:rsidR="000E4CC9" w:rsidRPr="009745FB">
        <w:rPr>
          <w:rFonts w:eastAsia="Calibri"/>
          <w:iCs/>
          <w:sz w:val="24"/>
          <w:szCs w:val="24"/>
          <w:lang w:val="sr-Latn-RS" w:eastAsia="en-US"/>
        </w:rPr>
        <w:t xml:space="preserve"> Zakona o slobodnom pristupu informacijama </w:t>
      </w:r>
      <w:r w:rsidR="000547AA" w:rsidRPr="009745FB">
        <w:rPr>
          <w:rFonts w:eastAsia="Calibri"/>
          <w:iCs/>
          <w:sz w:val="24"/>
          <w:szCs w:val="24"/>
          <w:lang w:val="sr-Latn-RS" w:eastAsia="en-US"/>
        </w:rPr>
        <w:t xml:space="preserve">(proširivanje kruga organa koji su u obavezi da izrade informator o radu </w:t>
      </w:r>
      <w:r w:rsidR="000E4CC9" w:rsidRPr="009745FB">
        <w:rPr>
          <w:rFonts w:eastAsia="Calibri"/>
          <w:iCs/>
          <w:sz w:val="24"/>
          <w:szCs w:val="24"/>
          <w:lang w:val="sr-Latn-RS" w:eastAsia="en-US"/>
        </w:rPr>
        <w:t>i davanje ovlašćenja za pokretanje postupaka Povereniku</w:t>
      </w:r>
      <w:r w:rsidR="000547AA" w:rsidRPr="009745FB">
        <w:rPr>
          <w:rFonts w:eastAsia="Calibri"/>
          <w:iCs/>
          <w:sz w:val="24"/>
          <w:szCs w:val="24"/>
          <w:lang w:val="sr-Latn-RS" w:eastAsia="en-US"/>
        </w:rPr>
        <w:t>)</w:t>
      </w:r>
      <w:r w:rsidR="000E4CC9" w:rsidRPr="009745FB">
        <w:rPr>
          <w:rFonts w:eastAsia="Calibri"/>
          <w:iCs/>
          <w:sz w:val="24"/>
          <w:szCs w:val="24"/>
          <w:lang w:val="sr-Latn-RS" w:eastAsia="en-US"/>
        </w:rPr>
        <w:t>, a do tada aktivno angažovanje nadležnog Ministarstva državne uprave na pokretanju prekršajnih postupaka.</w:t>
      </w:r>
    </w:p>
    <w:p w:rsidR="00A96956" w:rsidRPr="009745FB" w:rsidRDefault="00A96956" w:rsidP="008E107F">
      <w:pPr>
        <w:jc w:val="both"/>
        <w:rPr>
          <w:sz w:val="24"/>
          <w:szCs w:val="24"/>
          <w:lang w:val="sr-Latn-RS"/>
        </w:rPr>
      </w:pPr>
    </w:p>
    <w:p w:rsidR="00BC013D" w:rsidRPr="009745FB" w:rsidRDefault="00BC013D" w:rsidP="008E107F">
      <w:pPr>
        <w:jc w:val="both"/>
        <w:rPr>
          <w:sz w:val="24"/>
          <w:szCs w:val="24"/>
          <w:lang w:val="sr-Latn-RS"/>
        </w:rPr>
      </w:pPr>
      <w:r w:rsidRPr="009745FB">
        <w:rPr>
          <w:sz w:val="24"/>
          <w:szCs w:val="24"/>
          <w:lang w:val="sr-Latn-RS"/>
        </w:rPr>
        <w:t xml:space="preserve">Transparentnost – Srbija </w:t>
      </w:r>
    </w:p>
    <w:p w:rsidR="00BC013D" w:rsidRPr="009745FB" w:rsidRDefault="00BC013D" w:rsidP="008E107F">
      <w:pPr>
        <w:jc w:val="both"/>
        <w:rPr>
          <w:sz w:val="24"/>
          <w:szCs w:val="24"/>
          <w:lang w:val="sr-Latn-RS"/>
        </w:rPr>
      </w:pPr>
    </w:p>
    <w:p w:rsidR="00BC013D" w:rsidRPr="009745FB" w:rsidRDefault="003D620D" w:rsidP="008E107F">
      <w:pPr>
        <w:jc w:val="both"/>
        <w:rPr>
          <w:sz w:val="24"/>
          <w:szCs w:val="24"/>
          <w:lang w:val="sr-Latn-RS"/>
        </w:rPr>
      </w:pPr>
      <w:r w:rsidRPr="009745FB">
        <w:rPr>
          <w:sz w:val="24"/>
          <w:szCs w:val="24"/>
          <w:lang w:val="sr-Latn-RS"/>
        </w:rPr>
        <w:t xml:space="preserve">Beograd, </w:t>
      </w:r>
      <w:r w:rsidR="000E4CC9" w:rsidRPr="009745FB">
        <w:rPr>
          <w:sz w:val="24"/>
          <w:szCs w:val="24"/>
          <w:lang w:val="sr-Latn-RS"/>
        </w:rPr>
        <w:t xml:space="preserve">25.5.2015 </w:t>
      </w:r>
    </w:p>
    <w:p w:rsidR="00E51EA1" w:rsidRPr="009745FB" w:rsidRDefault="00E51EA1" w:rsidP="008E107F">
      <w:pPr>
        <w:jc w:val="both"/>
        <w:rPr>
          <w:sz w:val="24"/>
          <w:szCs w:val="24"/>
          <w:lang w:val="sr-Latn-RS"/>
        </w:rPr>
      </w:pPr>
    </w:p>
    <w:sectPr w:rsidR="00E51EA1" w:rsidRPr="009745FB" w:rsidSect="00E604BA">
      <w:headerReference w:type="default" r:id="rId9"/>
      <w:footerReference w:type="default" r:id="rId10"/>
      <w:pgSz w:w="12240" w:h="15840"/>
      <w:pgMar w:top="1440" w:right="1800" w:bottom="1440" w:left="1440" w:header="432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7A5" w:rsidRDefault="00CE37A5">
      <w:r>
        <w:separator/>
      </w:r>
    </w:p>
  </w:endnote>
  <w:endnote w:type="continuationSeparator" w:id="0">
    <w:p w:rsidR="00CE37A5" w:rsidRDefault="00CE3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4A7" w:rsidRPr="005A4E20" w:rsidRDefault="006074A7" w:rsidP="005A4E20">
    <w:pPr>
      <w:pStyle w:val="Footer"/>
      <w:pBdr>
        <w:bottom w:val="single" w:sz="12" w:space="1" w:color="auto"/>
      </w:pBdr>
      <w:rPr>
        <w:rFonts w:ascii="Arial" w:hAnsi="Arial" w:cs="Arial"/>
        <w:lang w:val="sr-Latn-CS"/>
      </w:rPr>
    </w:pPr>
  </w:p>
  <w:p w:rsidR="006074A7" w:rsidRPr="00E604BA" w:rsidRDefault="006074A7" w:rsidP="00180CA0">
    <w:pPr>
      <w:pStyle w:val="Footer"/>
      <w:tabs>
        <w:tab w:val="left" w:pos="2130"/>
      </w:tabs>
      <w:jc w:val="both"/>
      <w:rPr>
        <w:rFonts w:ascii="Arial" w:hAnsi="Arial" w:cs="Arial"/>
        <w:lang w:val="sr-Latn-CS"/>
      </w:rPr>
    </w:pPr>
    <w:r w:rsidRPr="00E604BA">
      <w:rPr>
        <w:rFonts w:ascii="Arial Narrow" w:hAnsi="Arial Narrow" w:cs="Arial"/>
        <w:lang w:val="sr-Latn-CS"/>
      </w:rPr>
      <w:t xml:space="preserve">Konferencija se organizuje u okviru projekata: „Povećana transparentnost i efikasnost javnog sektora u četiri oblasti“ koji sprovodi Transparentnost Srbija zahvaljujući podršci Delegacije Evropske Unije u Republici Srbiji i Kancelarije za saradnju sa civilnim društvom Vlade Republike Srbije.  </w:t>
    </w:r>
  </w:p>
  <w:p w:rsidR="006074A7" w:rsidRPr="005A4E20" w:rsidRDefault="006074A7" w:rsidP="00490762">
    <w:pPr>
      <w:pStyle w:val="Footer"/>
      <w:tabs>
        <w:tab w:val="left" w:pos="960"/>
        <w:tab w:val="left" w:pos="2130"/>
        <w:tab w:val="center" w:pos="4500"/>
      </w:tabs>
      <w:rPr>
        <w:rFonts w:ascii="Arial" w:hAnsi="Arial" w:cs="Arial"/>
      </w:rPr>
    </w:pPr>
    <w:r w:rsidRPr="00EF6533">
      <w:rPr>
        <w:rFonts w:ascii="Arial" w:hAnsi="Arial" w:cs="Arial"/>
        <w:lang w:val="sr-Latn-CS"/>
      </w:rPr>
      <w:tab/>
    </w:r>
    <w:r w:rsidRPr="00EF6533">
      <w:rPr>
        <w:rFonts w:ascii="Arial" w:hAnsi="Arial" w:cs="Arial"/>
        <w:lang w:val="sr-Latn-CS"/>
      </w:rPr>
      <w:tab/>
    </w:r>
    <w:r>
      <w:rPr>
        <w:rFonts w:ascii="Arial" w:hAnsi="Arial" w:cs="Arial"/>
        <w:noProof/>
        <w:lang w:val="en-US" w:eastAsia="en-US"/>
      </w:rPr>
      <w:drawing>
        <wp:inline distT="0" distB="0" distL="0" distR="0" wp14:anchorId="2B7747C6" wp14:editId="1A09533E">
          <wp:extent cx="742950" cy="511175"/>
          <wp:effectExtent l="19050" t="0" r="0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511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hAnsi="Arial" w:cs="Arial"/>
      </w:rPr>
      <w:t xml:space="preserve">                                </w:t>
    </w:r>
    <w:r>
      <w:rPr>
        <w:rFonts w:ascii="Arial" w:hAnsi="Arial" w:cs="Arial"/>
        <w:noProof/>
        <w:lang w:val="en-US" w:eastAsia="en-US"/>
      </w:rPr>
      <w:drawing>
        <wp:inline distT="0" distB="0" distL="0" distR="0" wp14:anchorId="72CB42F8" wp14:editId="7AD50EF0">
          <wp:extent cx="541020" cy="635635"/>
          <wp:effectExtent l="1905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020" cy="635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hAnsi="Arial" w:cs="Arial"/>
      </w:rPr>
      <w:t xml:space="preserve">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7A5" w:rsidRDefault="00CE37A5">
      <w:r>
        <w:separator/>
      </w:r>
    </w:p>
  </w:footnote>
  <w:footnote w:type="continuationSeparator" w:id="0">
    <w:p w:rsidR="00CE37A5" w:rsidRDefault="00CE37A5">
      <w:r>
        <w:continuationSeparator/>
      </w:r>
    </w:p>
  </w:footnote>
  <w:footnote w:id="1">
    <w:p w:rsidR="006074A7" w:rsidRPr="0098118D" w:rsidRDefault="006074A7" w:rsidP="00A6637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E215E5">
          <w:rPr>
            <w:rStyle w:val="Hyperlink"/>
          </w:rPr>
          <w:t>http://www.poverenik.rs/images/stories/dokumentacija-nova/podzakonski-akti/uputstvo-informator/uputstvozainformatorecir.doc.doc</w:t>
        </w:r>
      </w:hyperlink>
      <w:r>
        <w:t xml:space="preserve"> </w:t>
      </w:r>
    </w:p>
  </w:footnote>
  <w:footnote w:id="2">
    <w:p w:rsidR="006074A7" w:rsidRPr="000E4CC9" w:rsidRDefault="006074A7">
      <w:pPr>
        <w:pStyle w:val="FootnoteText"/>
        <w:rPr>
          <w:lang w:val="sr-Latn-RS"/>
        </w:rPr>
      </w:pPr>
      <w:r>
        <w:rPr>
          <w:rStyle w:val="FootnoteReference"/>
        </w:rPr>
        <w:footnoteRef/>
      </w:r>
      <w:r>
        <w:t xml:space="preserve"> </w:t>
      </w:r>
      <w:hyperlink r:id="rId2" w:history="1">
        <w:r w:rsidRPr="006A1EAB">
          <w:rPr>
            <w:rStyle w:val="Hyperlink"/>
          </w:rPr>
          <w:t>http://www.poverenik.rs/sr/o-nama/godisnji-izvestaji/2048-izvestaj-poverenika-za-2014-godinu.html</w:t>
        </w:r>
      </w:hyperlink>
      <w:r>
        <w:t xml:space="preserve"> </w:t>
      </w:r>
    </w:p>
  </w:footnote>
  <w:footnote w:id="3">
    <w:p w:rsidR="006074A7" w:rsidRDefault="006074A7" w:rsidP="00D51FC0">
      <w:pPr>
        <w:pStyle w:val="FootnoteText"/>
        <w:rPr>
          <w:lang w:val="sr-Cyrl-CS"/>
        </w:rPr>
      </w:pPr>
      <w:r>
        <w:rPr>
          <w:rStyle w:val="FootnoteReference"/>
        </w:rPr>
        <w:footnoteRef/>
      </w:r>
      <w:proofErr w:type="spellStart"/>
      <w:r>
        <w:t>Izveštaj</w:t>
      </w:r>
      <w:proofErr w:type="spellEnd"/>
      <w:r>
        <w:t xml:space="preserve"> </w:t>
      </w:r>
      <w:proofErr w:type="spellStart"/>
      <w:r>
        <w:t>Upravne</w:t>
      </w:r>
      <w:proofErr w:type="spellEnd"/>
      <w:r>
        <w:t xml:space="preserve"> </w:t>
      </w:r>
      <w:proofErr w:type="spellStart"/>
      <w:r>
        <w:t>inspekcije</w:t>
      </w:r>
      <w:proofErr w:type="spellEnd"/>
      <w:r>
        <w:t xml:space="preserve"> br. 011-00-00012/2014-01 </w:t>
      </w:r>
      <w:proofErr w:type="gramStart"/>
      <w:r>
        <w:t>od</w:t>
      </w:r>
      <w:proofErr w:type="gramEnd"/>
      <w:r>
        <w:t xml:space="preserve"> 16.1.2015.</w:t>
      </w:r>
    </w:p>
  </w:footnote>
  <w:footnote w:id="4">
    <w:p w:rsidR="006074A7" w:rsidRPr="000E4CC9" w:rsidRDefault="006074A7">
      <w:pPr>
        <w:pStyle w:val="FootnoteText"/>
        <w:rPr>
          <w:lang w:val="sr-Latn-RS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Pr="000E4CC9">
        <w:rPr>
          <w:bCs/>
          <w:lang w:val="en-GB"/>
        </w:rPr>
        <w:t>Iz</w:t>
      </w:r>
      <w:proofErr w:type="spellEnd"/>
      <w:r w:rsidRPr="000E4CC9">
        <w:rPr>
          <w:bCs/>
          <w:lang w:val="en-GB"/>
        </w:rPr>
        <w:t xml:space="preserve"> </w:t>
      </w:r>
      <w:proofErr w:type="spellStart"/>
      <w:r>
        <w:rPr>
          <w:bCs/>
          <w:lang w:val="en-GB"/>
        </w:rPr>
        <w:t>I</w:t>
      </w:r>
      <w:r w:rsidRPr="000E4CC9">
        <w:rPr>
          <w:bCs/>
          <w:lang w:val="en-GB"/>
        </w:rPr>
        <w:t>zveštaja</w:t>
      </w:r>
      <w:proofErr w:type="spellEnd"/>
      <w:r w:rsidRPr="000E4CC9">
        <w:rPr>
          <w:bCs/>
          <w:lang w:val="en-GB"/>
        </w:rPr>
        <w:t xml:space="preserve"> </w:t>
      </w:r>
      <w:proofErr w:type="spellStart"/>
      <w:r w:rsidRPr="000E4CC9">
        <w:rPr>
          <w:bCs/>
          <w:lang w:val="en-GB"/>
        </w:rPr>
        <w:t>Poverenika</w:t>
      </w:r>
      <w:proofErr w:type="spellEnd"/>
      <w:r w:rsidRPr="000E4CC9">
        <w:rPr>
          <w:bCs/>
          <w:lang w:val="en-GB"/>
        </w:rPr>
        <w:t xml:space="preserve"> </w:t>
      </w:r>
      <w:proofErr w:type="spellStart"/>
      <w:r w:rsidRPr="000E4CC9">
        <w:rPr>
          <w:bCs/>
          <w:lang w:val="en-GB"/>
        </w:rPr>
        <w:t>za</w:t>
      </w:r>
      <w:proofErr w:type="spellEnd"/>
      <w:r w:rsidRPr="000E4CC9">
        <w:rPr>
          <w:bCs/>
          <w:lang w:val="en-GB"/>
        </w:rPr>
        <w:t xml:space="preserve"> </w:t>
      </w:r>
      <w:proofErr w:type="spellStart"/>
      <w:r w:rsidRPr="000E4CC9">
        <w:rPr>
          <w:bCs/>
          <w:lang w:val="en-GB"/>
        </w:rPr>
        <w:t>informacije</w:t>
      </w:r>
      <w:proofErr w:type="spellEnd"/>
      <w:r w:rsidRPr="000E4CC9">
        <w:rPr>
          <w:bCs/>
          <w:lang w:val="en-GB"/>
        </w:rPr>
        <w:t xml:space="preserve"> </w:t>
      </w:r>
      <w:proofErr w:type="gramStart"/>
      <w:r w:rsidRPr="000E4CC9">
        <w:rPr>
          <w:bCs/>
          <w:lang w:val="en-GB"/>
        </w:rPr>
        <w:t>od</w:t>
      </w:r>
      <w:proofErr w:type="gramEnd"/>
      <w:r w:rsidRPr="000E4CC9">
        <w:rPr>
          <w:bCs/>
          <w:lang w:val="en-GB"/>
        </w:rPr>
        <w:t xml:space="preserve"> </w:t>
      </w:r>
      <w:proofErr w:type="spellStart"/>
      <w:r w:rsidRPr="000E4CC9">
        <w:rPr>
          <w:bCs/>
          <w:lang w:val="en-GB"/>
        </w:rPr>
        <w:t>javnog</w:t>
      </w:r>
      <w:proofErr w:type="spellEnd"/>
      <w:r w:rsidRPr="000E4CC9">
        <w:rPr>
          <w:bCs/>
          <w:lang w:val="en-GB"/>
        </w:rPr>
        <w:t xml:space="preserve"> </w:t>
      </w:r>
      <w:proofErr w:type="spellStart"/>
      <w:r w:rsidRPr="000E4CC9">
        <w:rPr>
          <w:bCs/>
          <w:lang w:val="en-GB"/>
        </w:rPr>
        <w:t>značaja</w:t>
      </w:r>
      <w:proofErr w:type="spellEnd"/>
      <w:r w:rsidRPr="000E4CC9">
        <w:rPr>
          <w:bCs/>
          <w:lang w:val="en-GB"/>
        </w:rPr>
        <w:t xml:space="preserve"> i </w:t>
      </w:r>
      <w:proofErr w:type="spellStart"/>
      <w:r w:rsidRPr="000E4CC9">
        <w:rPr>
          <w:bCs/>
          <w:lang w:val="en-GB"/>
        </w:rPr>
        <w:t>zaštitu</w:t>
      </w:r>
      <w:proofErr w:type="spellEnd"/>
      <w:r w:rsidRPr="000E4CC9">
        <w:rPr>
          <w:bCs/>
          <w:lang w:val="en-GB"/>
        </w:rPr>
        <w:t xml:space="preserve"> </w:t>
      </w:r>
      <w:proofErr w:type="spellStart"/>
      <w:r w:rsidRPr="000E4CC9">
        <w:rPr>
          <w:bCs/>
          <w:lang w:val="en-GB"/>
        </w:rPr>
        <w:t>podataka</w:t>
      </w:r>
      <w:proofErr w:type="spellEnd"/>
      <w:r w:rsidRPr="000E4CC9">
        <w:rPr>
          <w:bCs/>
          <w:lang w:val="en-GB"/>
        </w:rPr>
        <w:t xml:space="preserve"> o </w:t>
      </w:r>
      <w:proofErr w:type="spellStart"/>
      <w:r w:rsidRPr="000E4CC9">
        <w:rPr>
          <w:bCs/>
          <w:lang w:val="en-GB"/>
        </w:rPr>
        <w:t>ličnosti</w:t>
      </w:r>
      <w:proofErr w:type="spellEnd"/>
      <w:r w:rsidRPr="000E4CC9">
        <w:rPr>
          <w:bCs/>
          <w:lang w:val="en-GB"/>
        </w:rPr>
        <w:t xml:space="preserve"> o </w:t>
      </w:r>
      <w:proofErr w:type="spellStart"/>
      <w:r w:rsidRPr="000E4CC9">
        <w:rPr>
          <w:bCs/>
          <w:lang w:val="en-GB"/>
        </w:rPr>
        <w:t>sprovođenju</w:t>
      </w:r>
      <w:proofErr w:type="spellEnd"/>
      <w:r w:rsidRPr="000E4CC9">
        <w:rPr>
          <w:bCs/>
          <w:lang w:val="en-GB"/>
        </w:rPr>
        <w:t xml:space="preserve"> </w:t>
      </w:r>
      <w:proofErr w:type="spellStart"/>
      <w:r w:rsidRPr="000E4CC9">
        <w:rPr>
          <w:bCs/>
          <w:lang w:val="en-GB"/>
        </w:rPr>
        <w:t>Zakona</w:t>
      </w:r>
      <w:proofErr w:type="spellEnd"/>
      <w:r w:rsidRPr="000E4CC9">
        <w:rPr>
          <w:bCs/>
          <w:lang w:val="en-GB"/>
        </w:rPr>
        <w:t xml:space="preserve"> o </w:t>
      </w:r>
      <w:proofErr w:type="spellStart"/>
      <w:r w:rsidRPr="000E4CC9">
        <w:rPr>
          <w:bCs/>
          <w:lang w:val="en-GB"/>
        </w:rPr>
        <w:t>slobodnom</w:t>
      </w:r>
      <w:proofErr w:type="spellEnd"/>
      <w:r w:rsidRPr="000E4CC9">
        <w:rPr>
          <w:bCs/>
          <w:lang w:val="en-GB"/>
        </w:rPr>
        <w:t xml:space="preserve"> </w:t>
      </w:r>
      <w:proofErr w:type="spellStart"/>
      <w:r w:rsidRPr="000E4CC9">
        <w:rPr>
          <w:bCs/>
          <w:lang w:val="en-GB"/>
        </w:rPr>
        <w:t>pristupu</w:t>
      </w:r>
      <w:proofErr w:type="spellEnd"/>
      <w:r w:rsidRPr="000E4CC9">
        <w:rPr>
          <w:bCs/>
          <w:lang w:val="en-GB"/>
        </w:rPr>
        <w:t xml:space="preserve"> </w:t>
      </w:r>
      <w:proofErr w:type="spellStart"/>
      <w:r w:rsidRPr="000E4CC9">
        <w:rPr>
          <w:bCs/>
          <w:lang w:val="en-GB"/>
        </w:rPr>
        <w:t>informacijama</w:t>
      </w:r>
      <w:proofErr w:type="spellEnd"/>
      <w:r w:rsidRPr="000E4CC9">
        <w:rPr>
          <w:bCs/>
          <w:lang w:val="en-GB"/>
        </w:rPr>
        <w:t xml:space="preserve"> od </w:t>
      </w:r>
      <w:proofErr w:type="spellStart"/>
      <w:r w:rsidRPr="000E4CC9">
        <w:rPr>
          <w:bCs/>
          <w:lang w:val="en-GB"/>
        </w:rPr>
        <w:t>javnog</w:t>
      </w:r>
      <w:proofErr w:type="spellEnd"/>
      <w:r w:rsidRPr="000E4CC9">
        <w:rPr>
          <w:bCs/>
          <w:lang w:val="en-GB"/>
        </w:rPr>
        <w:t xml:space="preserve"> </w:t>
      </w:r>
      <w:proofErr w:type="spellStart"/>
      <w:r w:rsidRPr="000E4CC9">
        <w:rPr>
          <w:bCs/>
          <w:lang w:val="en-GB"/>
        </w:rPr>
        <w:t>značaja</w:t>
      </w:r>
      <w:proofErr w:type="spellEnd"/>
      <w:r w:rsidRPr="000E4CC9">
        <w:rPr>
          <w:bCs/>
          <w:lang w:val="en-GB"/>
        </w:rPr>
        <w:t xml:space="preserve"> </w:t>
      </w:r>
      <w:proofErr w:type="spellStart"/>
      <w:r w:rsidRPr="000E4CC9">
        <w:rPr>
          <w:bCs/>
          <w:lang w:val="en-GB"/>
        </w:rPr>
        <w:t>za</w:t>
      </w:r>
      <w:proofErr w:type="spellEnd"/>
      <w:r w:rsidRPr="000E4CC9">
        <w:rPr>
          <w:bCs/>
          <w:lang w:val="en-GB"/>
        </w:rPr>
        <w:t xml:space="preserve"> 2014. </w:t>
      </w:r>
      <w:proofErr w:type="spellStart"/>
      <w:r w:rsidRPr="000E4CC9">
        <w:rPr>
          <w:bCs/>
          <w:lang w:val="en-GB"/>
        </w:rPr>
        <w:t>godin</w:t>
      </w:r>
      <w:bookmarkStart w:id="3" w:name="_GoBack"/>
      <w:bookmarkEnd w:id="3"/>
      <w:r w:rsidRPr="000E4CC9">
        <w:rPr>
          <w:bCs/>
          <w:lang w:val="en-GB"/>
        </w:rPr>
        <w:t>u</w:t>
      </w:r>
      <w:proofErr w:type="spell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4A7" w:rsidRPr="00327589" w:rsidRDefault="00E604BA" w:rsidP="00180CA0">
    <w:pPr>
      <w:pStyle w:val="Header"/>
      <w:rPr>
        <w:rFonts w:ascii="Tahoma" w:eastAsia="Arial Unicode MS" w:hAnsi="Tahoma" w:cs="Tahoma"/>
        <w:b/>
        <w:iCs/>
        <w:caps/>
        <w:lang w:val="sr-Latn-CS"/>
      </w:rPr>
    </w:pPr>
    <w:sdt>
      <w:sdtPr>
        <w:rPr>
          <w:rFonts w:ascii="Tahoma" w:eastAsia="Arial Unicode MS" w:hAnsi="Tahoma" w:cs="Tahoma"/>
          <w:b/>
          <w:iCs/>
          <w:caps/>
          <w:lang w:val="sr-Latn-CS"/>
        </w:rPr>
        <w:id w:val="-599712379"/>
        <w:docPartObj>
          <w:docPartGallery w:val="Page Numbers (Margins)"/>
          <w:docPartUnique/>
        </w:docPartObj>
      </w:sdtPr>
      <w:sdtContent>
        <w:r w:rsidRPr="00E604BA">
          <w:rPr>
            <w:rFonts w:ascii="Tahoma" w:eastAsia="Arial Unicode MS" w:hAnsi="Tahoma" w:cs="Tahoma"/>
            <w:b/>
            <w:iCs/>
            <w:caps/>
            <w:noProof/>
            <w:lang w:val="sr-Latn-CS" w:eastAsia="en-US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77286D16" wp14:editId="64EDE99D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559" name="Rectangl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4"/>
                                </w:rPr>
                                <w:id w:val="-1131474261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Content>
                                <w:p w:rsidR="00E604BA" w:rsidRDefault="00E604BA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 w:cstheme="minorBidi"/>
                                      <w:sz w:val="22"/>
                                      <w:szCs w:val="22"/>
                                    </w:rPr>
                                    <w:fldChar w:fldCharType="begin"/>
                                  </w:r>
                                  <w:r>
                                    <w:instrText xml:space="preserve"> PAGE  \* MERGEFORMAT </w:instrText>
                                  </w:r>
                                  <w:r>
                                    <w:rPr>
                                      <w:rFonts w:asciiTheme="minorHAnsi" w:eastAsiaTheme="minorEastAsia" w:hAnsiTheme="minorHAnsi" w:cstheme="minorBidi"/>
                                      <w:sz w:val="22"/>
                                      <w:szCs w:val="22"/>
                                    </w:rPr>
                                    <w:fldChar w:fldCharType="separate"/>
                                  </w:r>
                                  <w:r w:rsidRPr="00E604BA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4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4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9" o:spid="_x0000_s1026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4"/>
                          </w:rPr>
                          <w:id w:val="-1131474261"/>
                          <w:docPartObj>
                            <w:docPartGallery w:val="Page Numbers (Margins)"/>
                            <w:docPartUnique/>
                          </w:docPartObj>
                        </w:sdtPr>
                        <w:sdtContent>
                          <w:p w:rsidR="00E604BA" w:rsidRDefault="00E604BA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44"/>
                              </w:rPr>
                            </w:pPr>
                            <w:r>
                              <w:rPr>
                                <w:rFonts w:asciiTheme="minorHAnsi" w:eastAsiaTheme="minorEastAsia" w:hAnsiTheme="minorHAnsi" w:cstheme="minorBidi"/>
                                <w:sz w:val="22"/>
                                <w:szCs w:val="22"/>
                              </w:rPr>
                              <w:fldChar w:fldCharType="begin"/>
                            </w:r>
                            <w:r>
                              <w:instrText xml:space="preserve"> PAGE  \* MERGEFORMAT </w:instrText>
                            </w:r>
                            <w:r>
                              <w:rPr>
                                <w:rFonts w:asciiTheme="minorHAnsi" w:eastAsiaTheme="minorEastAsia" w:hAnsiTheme="minorHAnsi" w:cstheme="minorBidi"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Pr="00E604BA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4"/>
                              </w:rPr>
                              <w:t>1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4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6A1222">
      <w:rPr>
        <w:rFonts w:ascii="Arial" w:hAnsi="Arial" w:cs="Arial"/>
        <w:b/>
        <w:i/>
        <w:caps/>
        <w:noProof/>
        <w:sz w:val="28"/>
        <w:szCs w:val="28"/>
        <w:lang w:val="en-US" w:eastAsia="en-US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6281935" wp14:editId="1B5BD2AF">
              <wp:simplePos x="0" y="0"/>
              <wp:positionH relativeFrom="column">
                <wp:posOffset>1885950</wp:posOffset>
              </wp:positionH>
              <wp:positionV relativeFrom="paragraph">
                <wp:posOffset>15240</wp:posOffset>
              </wp:positionV>
              <wp:extent cx="4076700" cy="760730"/>
              <wp:effectExtent l="9525" t="5715" r="9525" b="508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76700" cy="760730"/>
                      </a:xfrm>
                      <a:prstGeom prst="rect">
                        <a:avLst/>
                      </a:prstGeom>
                      <a:noFill/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6074A7" w:rsidRDefault="006074A7" w:rsidP="00B27BDE">
                          <w:pPr>
                            <w:ind w:left="1440"/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  <w:lang w:val="sl-SI"/>
                            </w:rPr>
                          </w:pPr>
                        </w:p>
                        <w:p w:rsidR="006074A7" w:rsidRPr="00B27BDE" w:rsidRDefault="006074A7" w:rsidP="00B27BDE">
                          <w:pPr>
                            <w:ind w:left="1440"/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  <w:lang w:val="sl-SI"/>
                            </w:rPr>
                          </w:pPr>
                          <w:r w:rsidRPr="00B27BDE">
                            <w:rPr>
                              <w:rFonts w:ascii="Tahoma" w:hAnsi="Tahoma" w:cs="Tahoma"/>
                              <w:sz w:val="16"/>
                              <w:szCs w:val="16"/>
                              <w:lang w:val="sl-SI"/>
                            </w:rPr>
                            <w:t xml:space="preserve">TRANSPARENTNOST SRBIJA je ovlašćeni zastupnik organizacije </w:t>
                          </w:r>
                        </w:p>
                        <w:p w:rsidR="006074A7" w:rsidRPr="00B27BDE" w:rsidRDefault="006074A7" w:rsidP="00B27BDE">
                          <w:pPr>
                            <w:ind w:left="1440"/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  <w:lang w:val="sl-SI"/>
                            </w:rPr>
                          </w:pPr>
                          <w:r w:rsidRPr="00B27BDE">
                            <w:rPr>
                              <w:rFonts w:ascii="Tahoma" w:hAnsi="Tahoma" w:cs="Tahoma"/>
                              <w:sz w:val="16"/>
                              <w:szCs w:val="16"/>
                              <w:lang w:val="sl-SI"/>
                            </w:rPr>
                            <w:t>TRANSPARENCY INTERNATIONAL u Republici Srbiji</w:t>
                          </w:r>
                        </w:p>
                        <w:p w:rsidR="006074A7" w:rsidRPr="00B27BDE" w:rsidRDefault="00CE37A5" w:rsidP="00B27BDE">
                          <w:pPr>
                            <w:ind w:left="1440"/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  <w:lang w:val="sr-Latn-CS"/>
                            </w:rPr>
                          </w:pPr>
                          <w:hyperlink r:id="rId1" w:history="1">
                            <w:r w:rsidR="006074A7" w:rsidRPr="00B27BDE">
                              <w:rPr>
                                <w:rStyle w:val="Hyperlink"/>
                                <w:rFonts w:ascii="Tahoma" w:hAnsi="Tahoma" w:cs="Tahoma"/>
                                <w:sz w:val="16"/>
                                <w:szCs w:val="16"/>
                                <w:lang w:val="sr-Latn-CS"/>
                              </w:rPr>
                              <w:t>www.transparentnost.org.rs</w:t>
                            </w:r>
                          </w:hyperlink>
                        </w:p>
                        <w:p w:rsidR="006074A7" w:rsidRPr="005A4E20" w:rsidRDefault="006074A7" w:rsidP="00C5579D">
                          <w:pPr>
                            <w:ind w:left="1440"/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  <w:lang w:val="sr-Latn-C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48.5pt;margin-top:1.2pt;width:321pt;height:59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" filled="f" strokecolor="white" strokeweight="0">
              <v:textbox>
                <w:txbxContent>
                  <w:p w:rsidR="006074A7" w:rsidRDefault="006074A7" w:rsidP="00B27BDE">
                    <w:pPr>
                      <w:ind w:left="1440"/>
                      <w:jc w:val="center"/>
                      <w:rPr>
                        <w:rFonts w:ascii="Tahoma" w:hAnsi="Tahoma" w:cs="Tahoma"/>
                        <w:sz w:val="16"/>
                        <w:szCs w:val="16"/>
                        <w:lang w:val="sl-SI"/>
                      </w:rPr>
                    </w:pPr>
                  </w:p>
                  <w:p w:rsidR="006074A7" w:rsidRPr="00B27BDE" w:rsidRDefault="006074A7" w:rsidP="00B27BDE">
                    <w:pPr>
                      <w:ind w:left="1440"/>
                      <w:jc w:val="center"/>
                      <w:rPr>
                        <w:rFonts w:ascii="Tahoma" w:hAnsi="Tahoma" w:cs="Tahoma"/>
                        <w:sz w:val="16"/>
                        <w:szCs w:val="16"/>
                        <w:lang w:val="sl-SI"/>
                      </w:rPr>
                    </w:pPr>
                    <w:r w:rsidRPr="00B27BDE">
                      <w:rPr>
                        <w:rFonts w:ascii="Tahoma" w:hAnsi="Tahoma" w:cs="Tahoma"/>
                        <w:sz w:val="16"/>
                        <w:szCs w:val="16"/>
                        <w:lang w:val="sl-SI"/>
                      </w:rPr>
                      <w:t xml:space="preserve">TRANSPARENTNOST SRBIJA je ovlašćeni zastupnik organizacije </w:t>
                    </w:r>
                  </w:p>
                  <w:p w:rsidR="006074A7" w:rsidRPr="00B27BDE" w:rsidRDefault="006074A7" w:rsidP="00B27BDE">
                    <w:pPr>
                      <w:ind w:left="1440"/>
                      <w:jc w:val="center"/>
                      <w:rPr>
                        <w:rFonts w:ascii="Tahoma" w:hAnsi="Tahoma" w:cs="Tahoma"/>
                        <w:sz w:val="16"/>
                        <w:szCs w:val="16"/>
                        <w:lang w:val="sl-SI"/>
                      </w:rPr>
                    </w:pPr>
                    <w:r w:rsidRPr="00B27BDE">
                      <w:rPr>
                        <w:rFonts w:ascii="Tahoma" w:hAnsi="Tahoma" w:cs="Tahoma"/>
                        <w:sz w:val="16"/>
                        <w:szCs w:val="16"/>
                        <w:lang w:val="sl-SI"/>
                      </w:rPr>
                      <w:t>TRANSPARENCY INTERNATIONAL u Republici Srbiji</w:t>
                    </w:r>
                  </w:p>
                  <w:p w:rsidR="006074A7" w:rsidRPr="00B27BDE" w:rsidRDefault="006074A7" w:rsidP="00B27BDE">
                    <w:pPr>
                      <w:ind w:left="1440"/>
                      <w:jc w:val="center"/>
                      <w:rPr>
                        <w:rFonts w:ascii="Tahoma" w:hAnsi="Tahoma" w:cs="Tahoma"/>
                        <w:sz w:val="16"/>
                        <w:szCs w:val="16"/>
                        <w:lang w:val="sr-Latn-CS"/>
                      </w:rPr>
                    </w:pPr>
                    <w:hyperlink r:id="rId2" w:history="1">
                      <w:r w:rsidRPr="00B27BDE">
                        <w:rPr>
                          <w:rStyle w:val="Hyperlink"/>
                          <w:rFonts w:ascii="Tahoma" w:hAnsi="Tahoma" w:cs="Tahoma"/>
                          <w:sz w:val="16"/>
                          <w:szCs w:val="16"/>
                          <w:lang w:val="sr-Latn-CS"/>
                        </w:rPr>
                        <w:t>www.transparentnost.org.rs</w:t>
                      </w:r>
                    </w:hyperlink>
                  </w:p>
                  <w:p w:rsidR="006074A7" w:rsidRPr="005A4E20" w:rsidRDefault="006074A7" w:rsidP="00C5579D">
                    <w:pPr>
                      <w:ind w:left="1440"/>
                      <w:jc w:val="center"/>
                      <w:rPr>
                        <w:rFonts w:ascii="Tahoma" w:hAnsi="Tahoma" w:cs="Tahoma"/>
                        <w:sz w:val="16"/>
                        <w:szCs w:val="16"/>
                        <w:lang w:val="sr-Latn-CS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6074A7" w:rsidRPr="00180CA0" w:rsidRDefault="006074A7" w:rsidP="00180CA0">
    <w:pPr>
      <w:pStyle w:val="Header"/>
      <w:pBdr>
        <w:bottom w:val="single" w:sz="12" w:space="11" w:color="auto"/>
      </w:pBdr>
      <w:rPr>
        <w:rFonts w:ascii="Tahoma" w:eastAsia="Arial Unicode MS" w:hAnsi="Tahoma" w:cs="Tahoma"/>
        <w:b/>
        <w:i/>
        <w:sz w:val="32"/>
        <w:szCs w:val="32"/>
        <w:lang w:val="sr-Latn-CS"/>
      </w:rPr>
    </w:pPr>
    <w:r>
      <w:rPr>
        <w:rFonts w:ascii="Tahoma" w:eastAsia="Arial Unicode MS" w:hAnsi="Tahoma" w:cs="Tahoma"/>
        <w:b/>
        <w:i/>
        <w:noProof/>
        <w:sz w:val="32"/>
        <w:szCs w:val="32"/>
        <w:lang w:val="en-US" w:eastAsia="en-US"/>
      </w:rPr>
      <w:drawing>
        <wp:inline distT="0" distB="0" distL="0" distR="0" wp14:anchorId="2CAE418B" wp14:editId="34152D4A">
          <wp:extent cx="1885950" cy="457200"/>
          <wp:effectExtent l="1905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96DA3"/>
    <w:multiLevelType w:val="hybridMultilevel"/>
    <w:tmpl w:val="92042D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945097"/>
    <w:multiLevelType w:val="hybridMultilevel"/>
    <w:tmpl w:val="648E260C"/>
    <w:lvl w:ilvl="0" w:tplc="1E9EFC72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E327FF"/>
    <w:multiLevelType w:val="hybridMultilevel"/>
    <w:tmpl w:val="1D62A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DB4138"/>
    <w:multiLevelType w:val="multilevel"/>
    <w:tmpl w:val="0E0AFD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D46335C"/>
    <w:multiLevelType w:val="hybridMultilevel"/>
    <w:tmpl w:val="99B09E50"/>
    <w:lvl w:ilvl="0" w:tplc="16C62AC2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eastAsia="Times New Roman" w:hAnsi="Cambria" w:hint="default"/>
      </w:rPr>
    </w:lvl>
    <w:lvl w:ilvl="1" w:tplc="081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1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D6F6E09"/>
    <w:multiLevelType w:val="hybridMultilevel"/>
    <w:tmpl w:val="61661F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9910C1"/>
    <w:multiLevelType w:val="hybridMultilevel"/>
    <w:tmpl w:val="823479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C40E06"/>
    <w:multiLevelType w:val="hybridMultilevel"/>
    <w:tmpl w:val="F66667B4"/>
    <w:lvl w:ilvl="0" w:tplc="E0F4800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88A3BB0"/>
    <w:multiLevelType w:val="hybridMultilevel"/>
    <w:tmpl w:val="9A9CE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0C08B5"/>
    <w:multiLevelType w:val="multilevel"/>
    <w:tmpl w:val="8F3A1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E51561"/>
    <w:multiLevelType w:val="hybridMultilevel"/>
    <w:tmpl w:val="7FD81A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8814F15"/>
    <w:multiLevelType w:val="hybridMultilevel"/>
    <w:tmpl w:val="20FA8C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7FD2206"/>
    <w:multiLevelType w:val="hybridMultilevel"/>
    <w:tmpl w:val="A2563380"/>
    <w:lvl w:ilvl="0" w:tplc="39A858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035AF1"/>
    <w:multiLevelType w:val="hybridMultilevel"/>
    <w:tmpl w:val="97620C56"/>
    <w:lvl w:ilvl="0" w:tplc="C41A98F0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C03694"/>
    <w:multiLevelType w:val="hybridMultilevel"/>
    <w:tmpl w:val="FEB6430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12"/>
  </w:num>
  <w:num w:numId="4">
    <w:abstractNumId w:val="13"/>
  </w:num>
  <w:num w:numId="5">
    <w:abstractNumId w:val="1"/>
  </w:num>
  <w:num w:numId="6">
    <w:abstractNumId w:val="8"/>
  </w:num>
  <w:num w:numId="7">
    <w:abstractNumId w:val="7"/>
  </w:num>
  <w:num w:numId="8">
    <w:abstractNumId w:val="9"/>
  </w:num>
  <w:num w:numId="9">
    <w:abstractNumId w:val="14"/>
  </w:num>
  <w:num w:numId="10">
    <w:abstractNumId w:val="3"/>
  </w:num>
  <w:num w:numId="11">
    <w:abstractNumId w:val="0"/>
  </w:num>
  <w:num w:numId="12">
    <w:abstractNumId w:val="4"/>
  </w:num>
  <w:num w:numId="13">
    <w:abstractNumId w:val="6"/>
  </w:num>
  <w:num w:numId="14">
    <w:abstractNumId w:val="5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E20"/>
    <w:rsid w:val="00015EF6"/>
    <w:rsid w:val="00021344"/>
    <w:rsid w:val="00037748"/>
    <w:rsid w:val="00043E0E"/>
    <w:rsid w:val="000459BF"/>
    <w:rsid w:val="000547AA"/>
    <w:rsid w:val="00055982"/>
    <w:rsid w:val="000648B4"/>
    <w:rsid w:val="0009480A"/>
    <w:rsid w:val="00094829"/>
    <w:rsid w:val="000A6379"/>
    <w:rsid w:val="000C1858"/>
    <w:rsid w:val="000C1927"/>
    <w:rsid w:val="000C3237"/>
    <w:rsid w:val="000C6310"/>
    <w:rsid w:val="000E06BE"/>
    <w:rsid w:val="000E4CC9"/>
    <w:rsid w:val="000F0F38"/>
    <w:rsid w:val="00100776"/>
    <w:rsid w:val="00104CA4"/>
    <w:rsid w:val="00122FAA"/>
    <w:rsid w:val="001250FE"/>
    <w:rsid w:val="00131BFA"/>
    <w:rsid w:val="00161186"/>
    <w:rsid w:val="001733C8"/>
    <w:rsid w:val="00174B43"/>
    <w:rsid w:val="00176E7C"/>
    <w:rsid w:val="001807B9"/>
    <w:rsid w:val="00180CA0"/>
    <w:rsid w:val="00191AE6"/>
    <w:rsid w:val="001A336F"/>
    <w:rsid w:val="001A4798"/>
    <w:rsid w:val="001A5EE9"/>
    <w:rsid w:val="001A7B61"/>
    <w:rsid w:val="001B3F9B"/>
    <w:rsid w:val="001B734A"/>
    <w:rsid w:val="001B7479"/>
    <w:rsid w:val="001D3752"/>
    <w:rsid w:val="001E6A95"/>
    <w:rsid w:val="001E78B4"/>
    <w:rsid w:val="001F1A93"/>
    <w:rsid w:val="00206150"/>
    <w:rsid w:val="00206DB4"/>
    <w:rsid w:val="00211122"/>
    <w:rsid w:val="00211E2F"/>
    <w:rsid w:val="00216F79"/>
    <w:rsid w:val="00220275"/>
    <w:rsid w:val="002221C8"/>
    <w:rsid w:val="0023605C"/>
    <w:rsid w:val="00241BB7"/>
    <w:rsid w:val="00246C49"/>
    <w:rsid w:val="00250666"/>
    <w:rsid w:val="00254FCE"/>
    <w:rsid w:val="00263676"/>
    <w:rsid w:val="00282679"/>
    <w:rsid w:val="002831ED"/>
    <w:rsid w:val="00283CB7"/>
    <w:rsid w:val="002B05EB"/>
    <w:rsid w:val="002B296E"/>
    <w:rsid w:val="002B5DD8"/>
    <w:rsid w:val="002D1C16"/>
    <w:rsid w:val="002D5C28"/>
    <w:rsid w:val="002F70D8"/>
    <w:rsid w:val="002F7982"/>
    <w:rsid w:val="00301C8F"/>
    <w:rsid w:val="00302ADB"/>
    <w:rsid w:val="003055AF"/>
    <w:rsid w:val="00316525"/>
    <w:rsid w:val="00321827"/>
    <w:rsid w:val="00321A90"/>
    <w:rsid w:val="00322BA0"/>
    <w:rsid w:val="00323A47"/>
    <w:rsid w:val="003429EF"/>
    <w:rsid w:val="00353B12"/>
    <w:rsid w:val="00354014"/>
    <w:rsid w:val="0036230D"/>
    <w:rsid w:val="0036574C"/>
    <w:rsid w:val="00366FAE"/>
    <w:rsid w:val="003725B6"/>
    <w:rsid w:val="00391055"/>
    <w:rsid w:val="003A30AE"/>
    <w:rsid w:val="003A4299"/>
    <w:rsid w:val="003B2EF2"/>
    <w:rsid w:val="003C2910"/>
    <w:rsid w:val="003C3BFF"/>
    <w:rsid w:val="003C4599"/>
    <w:rsid w:val="003C7E49"/>
    <w:rsid w:val="003D1BFE"/>
    <w:rsid w:val="003D1E2E"/>
    <w:rsid w:val="003D3730"/>
    <w:rsid w:val="003D620D"/>
    <w:rsid w:val="003E0A5B"/>
    <w:rsid w:val="003E1B7F"/>
    <w:rsid w:val="003E6150"/>
    <w:rsid w:val="003F4B83"/>
    <w:rsid w:val="003F5DA1"/>
    <w:rsid w:val="003F7B9E"/>
    <w:rsid w:val="004076A5"/>
    <w:rsid w:val="00436EC4"/>
    <w:rsid w:val="0045229E"/>
    <w:rsid w:val="00452BD0"/>
    <w:rsid w:val="004538DE"/>
    <w:rsid w:val="004709E9"/>
    <w:rsid w:val="0047273D"/>
    <w:rsid w:val="00475EBE"/>
    <w:rsid w:val="0048001D"/>
    <w:rsid w:val="00490762"/>
    <w:rsid w:val="004923A7"/>
    <w:rsid w:val="004A114A"/>
    <w:rsid w:val="004B1843"/>
    <w:rsid w:val="004B40A2"/>
    <w:rsid w:val="004B629D"/>
    <w:rsid w:val="004B6A19"/>
    <w:rsid w:val="00502BB8"/>
    <w:rsid w:val="00505382"/>
    <w:rsid w:val="00505B39"/>
    <w:rsid w:val="00520AE6"/>
    <w:rsid w:val="0052198C"/>
    <w:rsid w:val="00523613"/>
    <w:rsid w:val="0052688A"/>
    <w:rsid w:val="00531EC1"/>
    <w:rsid w:val="005334CC"/>
    <w:rsid w:val="00533F70"/>
    <w:rsid w:val="0053582A"/>
    <w:rsid w:val="00537FF5"/>
    <w:rsid w:val="0055049C"/>
    <w:rsid w:val="00552B21"/>
    <w:rsid w:val="00572A06"/>
    <w:rsid w:val="00575CDE"/>
    <w:rsid w:val="00576656"/>
    <w:rsid w:val="00584704"/>
    <w:rsid w:val="005A0FE6"/>
    <w:rsid w:val="005A4E20"/>
    <w:rsid w:val="005A70F5"/>
    <w:rsid w:val="005B29BD"/>
    <w:rsid w:val="005C447F"/>
    <w:rsid w:val="005C4990"/>
    <w:rsid w:val="005C58E0"/>
    <w:rsid w:val="005D1A11"/>
    <w:rsid w:val="005F0172"/>
    <w:rsid w:val="005F2123"/>
    <w:rsid w:val="005F49B3"/>
    <w:rsid w:val="00600484"/>
    <w:rsid w:val="00602008"/>
    <w:rsid w:val="00605B94"/>
    <w:rsid w:val="006074A7"/>
    <w:rsid w:val="00610310"/>
    <w:rsid w:val="00621335"/>
    <w:rsid w:val="00632651"/>
    <w:rsid w:val="006333E8"/>
    <w:rsid w:val="00636BE2"/>
    <w:rsid w:val="0063797E"/>
    <w:rsid w:val="006454D8"/>
    <w:rsid w:val="006511BF"/>
    <w:rsid w:val="00652691"/>
    <w:rsid w:val="00664697"/>
    <w:rsid w:val="006715D6"/>
    <w:rsid w:val="0067497C"/>
    <w:rsid w:val="006863B5"/>
    <w:rsid w:val="00686DFD"/>
    <w:rsid w:val="0069352A"/>
    <w:rsid w:val="006A118D"/>
    <w:rsid w:val="006A1222"/>
    <w:rsid w:val="006B6BD2"/>
    <w:rsid w:val="006C0810"/>
    <w:rsid w:val="006D1744"/>
    <w:rsid w:val="006E32F2"/>
    <w:rsid w:val="006E5847"/>
    <w:rsid w:val="006F63BD"/>
    <w:rsid w:val="00707595"/>
    <w:rsid w:val="00722E45"/>
    <w:rsid w:val="00724909"/>
    <w:rsid w:val="00736D0A"/>
    <w:rsid w:val="00751174"/>
    <w:rsid w:val="00751758"/>
    <w:rsid w:val="00752060"/>
    <w:rsid w:val="00757F8E"/>
    <w:rsid w:val="00771AD3"/>
    <w:rsid w:val="00773235"/>
    <w:rsid w:val="00775FC1"/>
    <w:rsid w:val="0078261E"/>
    <w:rsid w:val="007834CB"/>
    <w:rsid w:val="007846BB"/>
    <w:rsid w:val="00797FB2"/>
    <w:rsid w:val="007B32C9"/>
    <w:rsid w:val="007B4147"/>
    <w:rsid w:val="007C02B9"/>
    <w:rsid w:val="007C0FB2"/>
    <w:rsid w:val="007C11FD"/>
    <w:rsid w:val="007C1DA0"/>
    <w:rsid w:val="007C2C06"/>
    <w:rsid w:val="007C400B"/>
    <w:rsid w:val="007C5211"/>
    <w:rsid w:val="007D2867"/>
    <w:rsid w:val="007D2E66"/>
    <w:rsid w:val="007E44A8"/>
    <w:rsid w:val="007E5C34"/>
    <w:rsid w:val="007F1EC7"/>
    <w:rsid w:val="00810E69"/>
    <w:rsid w:val="008240FE"/>
    <w:rsid w:val="00826577"/>
    <w:rsid w:val="00843264"/>
    <w:rsid w:val="008572E4"/>
    <w:rsid w:val="00881A2D"/>
    <w:rsid w:val="00894B45"/>
    <w:rsid w:val="008A4519"/>
    <w:rsid w:val="008A5977"/>
    <w:rsid w:val="008C1CA5"/>
    <w:rsid w:val="008C5CF1"/>
    <w:rsid w:val="008D2E7E"/>
    <w:rsid w:val="008D6944"/>
    <w:rsid w:val="008E107F"/>
    <w:rsid w:val="008E2E83"/>
    <w:rsid w:val="008E6195"/>
    <w:rsid w:val="008F0C15"/>
    <w:rsid w:val="00912851"/>
    <w:rsid w:val="009208B0"/>
    <w:rsid w:val="00932A0B"/>
    <w:rsid w:val="009339CF"/>
    <w:rsid w:val="00933E8A"/>
    <w:rsid w:val="0093669B"/>
    <w:rsid w:val="00954BD8"/>
    <w:rsid w:val="00966F6B"/>
    <w:rsid w:val="00973EC2"/>
    <w:rsid w:val="009745FB"/>
    <w:rsid w:val="0098118D"/>
    <w:rsid w:val="00983578"/>
    <w:rsid w:val="00983773"/>
    <w:rsid w:val="00997B94"/>
    <w:rsid w:val="009A00CF"/>
    <w:rsid w:val="009A6A80"/>
    <w:rsid w:val="009B64E3"/>
    <w:rsid w:val="009C3658"/>
    <w:rsid w:val="009C6383"/>
    <w:rsid w:val="009D10A8"/>
    <w:rsid w:val="009E5AF8"/>
    <w:rsid w:val="009E5FE5"/>
    <w:rsid w:val="009E7F8F"/>
    <w:rsid w:val="009F0810"/>
    <w:rsid w:val="00A03E32"/>
    <w:rsid w:val="00A03F4E"/>
    <w:rsid w:val="00A05F37"/>
    <w:rsid w:val="00A079B5"/>
    <w:rsid w:val="00A20FAA"/>
    <w:rsid w:val="00A44797"/>
    <w:rsid w:val="00A47E55"/>
    <w:rsid w:val="00A640C2"/>
    <w:rsid w:val="00A66371"/>
    <w:rsid w:val="00A731CE"/>
    <w:rsid w:val="00A82CD4"/>
    <w:rsid w:val="00A87556"/>
    <w:rsid w:val="00A92593"/>
    <w:rsid w:val="00A930A4"/>
    <w:rsid w:val="00A94592"/>
    <w:rsid w:val="00A96956"/>
    <w:rsid w:val="00AA447C"/>
    <w:rsid w:val="00AA6DC6"/>
    <w:rsid w:val="00AB0522"/>
    <w:rsid w:val="00AB2094"/>
    <w:rsid w:val="00AB3EDC"/>
    <w:rsid w:val="00AC319C"/>
    <w:rsid w:val="00AC43D5"/>
    <w:rsid w:val="00AD25BD"/>
    <w:rsid w:val="00AD3D65"/>
    <w:rsid w:val="00AD3ED5"/>
    <w:rsid w:val="00AE1E51"/>
    <w:rsid w:val="00AE409D"/>
    <w:rsid w:val="00AF2058"/>
    <w:rsid w:val="00B065A1"/>
    <w:rsid w:val="00B15F4F"/>
    <w:rsid w:val="00B163BE"/>
    <w:rsid w:val="00B27BDE"/>
    <w:rsid w:val="00B33BDC"/>
    <w:rsid w:val="00B347A4"/>
    <w:rsid w:val="00B4653C"/>
    <w:rsid w:val="00B516C0"/>
    <w:rsid w:val="00B530C0"/>
    <w:rsid w:val="00B56320"/>
    <w:rsid w:val="00B61664"/>
    <w:rsid w:val="00B61FC3"/>
    <w:rsid w:val="00B70218"/>
    <w:rsid w:val="00B768EB"/>
    <w:rsid w:val="00B80C48"/>
    <w:rsid w:val="00B81D27"/>
    <w:rsid w:val="00B94C42"/>
    <w:rsid w:val="00B95A38"/>
    <w:rsid w:val="00B9786A"/>
    <w:rsid w:val="00BA2EB8"/>
    <w:rsid w:val="00BA340C"/>
    <w:rsid w:val="00BB6D88"/>
    <w:rsid w:val="00BC0135"/>
    <w:rsid w:val="00BC013D"/>
    <w:rsid w:val="00BC099D"/>
    <w:rsid w:val="00BC75B2"/>
    <w:rsid w:val="00BD0B14"/>
    <w:rsid w:val="00BD5148"/>
    <w:rsid w:val="00BE47B0"/>
    <w:rsid w:val="00BF2454"/>
    <w:rsid w:val="00C0073C"/>
    <w:rsid w:val="00C00D9A"/>
    <w:rsid w:val="00C04CD5"/>
    <w:rsid w:val="00C058ED"/>
    <w:rsid w:val="00C1413E"/>
    <w:rsid w:val="00C14486"/>
    <w:rsid w:val="00C27511"/>
    <w:rsid w:val="00C27F40"/>
    <w:rsid w:val="00C312CA"/>
    <w:rsid w:val="00C457F8"/>
    <w:rsid w:val="00C4772B"/>
    <w:rsid w:val="00C51973"/>
    <w:rsid w:val="00C5579D"/>
    <w:rsid w:val="00C5779C"/>
    <w:rsid w:val="00C61836"/>
    <w:rsid w:val="00C759F1"/>
    <w:rsid w:val="00C833CC"/>
    <w:rsid w:val="00C91520"/>
    <w:rsid w:val="00C949F8"/>
    <w:rsid w:val="00CA5997"/>
    <w:rsid w:val="00CB3A62"/>
    <w:rsid w:val="00CB409A"/>
    <w:rsid w:val="00CB7DDB"/>
    <w:rsid w:val="00CC049F"/>
    <w:rsid w:val="00CC11DA"/>
    <w:rsid w:val="00CD4422"/>
    <w:rsid w:val="00CE37A5"/>
    <w:rsid w:val="00CF20A1"/>
    <w:rsid w:val="00CF4A0A"/>
    <w:rsid w:val="00CF7770"/>
    <w:rsid w:val="00D22695"/>
    <w:rsid w:val="00D249D0"/>
    <w:rsid w:val="00D45431"/>
    <w:rsid w:val="00D51FC0"/>
    <w:rsid w:val="00D57133"/>
    <w:rsid w:val="00D6180E"/>
    <w:rsid w:val="00D61B6B"/>
    <w:rsid w:val="00D849EE"/>
    <w:rsid w:val="00D8622F"/>
    <w:rsid w:val="00D962F1"/>
    <w:rsid w:val="00DA4C5D"/>
    <w:rsid w:val="00DA7B4A"/>
    <w:rsid w:val="00DB2DBA"/>
    <w:rsid w:val="00DB3CEE"/>
    <w:rsid w:val="00DC1F8E"/>
    <w:rsid w:val="00DC52BD"/>
    <w:rsid w:val="00DC773E"/>
    <w:rsid w:val="00DC7D8E"/>
    <w:rsid w:val="00DE219B"/>
    <w:rsid w:val="00DF1335"/>
    <w:rsid w:val="00DF1F83"/>
    <w:rsid w:val="00DF31C1"/>
    <w:rsid w:val="00DF5DF9"/>
    <w:rsid w:val="00E14F98"/>
    <w:rsid w:val="00E24427"/>
    <w:rsid w:val="00E307DA"/>
    <w:rsid w:val="00E35FF4"/>
    <w:rsid w:val="00E51EA1"/>
    <w:rsid w:val="00E523D6"/>
    <w:rsid w:val="00E604BA"/>
    <w:rsid w:val="00E70A13"/>
    <w:rsid w:val="00E755A3"/>
    <w:rsid w:val="00EA54C2"/>
    <w:rsid w:val="00EB1D48"/>
    <w:rsid w:val="00EB2656"/>
    <w:rsid w:val="00ED160A"/>
    <w:rsid w:val="00EE23B7"/>
    <w:rsid w:val="00EE69C6"/>
    <w:rsid w:val="00EE6A9F"/>
    <w:rsid w:val="00EF078E"/>
    <w:rsid w:val="00EF2862"/>
    <w:rsid w:val="00EF4383"/>
    <w:rsid w:val="00EF4A76"/>
    <w:rsid w:val="00EF6533"/>
    <w:rsid w:val="00F025BD"/>
    <w:rsid w:val="00F05F7B"/>
    <w:rsid w:val="00F12B87"/>
    <w:rsid w:val="00F27450"/>
    <w:rsid w:val="00F336FD"/>
    <w:rsid w:val="00F345CB"/>
    <w:rsid w:val="00F4368B"/>
    <w:rsid w:val="00F44D3B"/>
    <w:rsid w:val="00F47F06"/>
    <w:rsid w:val="00F54E4E"/>
    <w:rsid w:val="00F55D8C"/>
    <w:rsid w:val="00F63D5B"/>
    <w:rsid w:val="00F64277"/>
    <w:rsid w:val="00F75328"/>
    <w:rsid w:val="00F813D0"/>
    <w:rsid w:val="00F8433E"/>
    <w:rsid w:val="00F8470E"/>
    <w:rsid w:val="00F931AB"/>
    <w:rsid w:val="00F935B5"/>
    <w:rsid w:val="00FA0752"/>
    <w:rsid w:val="00FA5624"/>
    <w:rsid w:val="00FB1D31"/>
    <w:rsid w:val="00FB4E22"/>
    <w:rsid w:val="00FC4EFC"/>
    <w:rsid w:val="00FC5CB7"/>
    <w:rsid w:val="00FD1F0E"/>
    <w:rsid w:val="00FE09F1"/>
    <w:rsid w:val="00FE1BB9"/>
    <w:rsid w:val="00FE3643"/>
    <w:rsid w:val="00FF0FAF"/>
    <w:rsid w:val="00FF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0C15"/>
    <w:pPr>
      <w:suppressAutoHyphens/>
    </w:pPr>
    <w:rPr>
      <w:lang w:val="en-GB" w:eastAsia="ar-SA"/>
    </w:rPr>
  </w:style>
  <w:style w:type="paragraph" w:styleId="Heading1">
    <w:name w:val="heading 1"/>
    <w:basedOn w:val="Normal"/>
    <w:next w:val="Normal"/>
    <w:link w:val="Heading1Char"/>
    <w:qFormat/>
    <w:rsid w:val="00F12B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353B1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A4E2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A4E20"/>
    <w:pPr>
      <w:tabs>
        <w:tab w:val="center" w:pos="4320"/>
        <w:tab w:val="right" w:pos="8640"/>
      </w:tabs>
    </w:pPr>
  </w:style>
  <w:style w:type="character" w:styleId="Hyperlink">
    <w:name w:val="Hyperlink"/>
    <w:rsid w:val="005A4E20"/>
    <w:rPr>
      <w:color w:val="0000FF"/>
      <w:u w:val="single"/>
    </w:rPr>
  </w:style>
  <w:style w:type="paragraph" w:styleId="BalloonText">
    <w:name w:val="Balloon Text"/>
    <w:basedOn w:val="Normal"/>
    <w:semiHidden/>
    <w:rsid w:val="0050538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3E0A5B"/>
    <w:pPr>
      <w:suppressAutoHyphens w:val="0"/>
    </w:pPr>
    <w:rPr>
      <w:sz w:val="24"/>
      <w:szCs w:val="24"/>
      <w:lang w:val="sr-Latn-CS" w:eastAsia="sr-Latn-CS"/>
    </w:rPr>
  </w:style>
  <w:style w:type="paragraph" w:styleId="FootnoteText">
    <w:name w:val="footnote text"/>
    <w:basedOn w:val="Normal"/>
    <w:link w:val="FootnoteTextChar"/>
    <w:rsid w:val="00C5779C"/>
    <w:pPr>
      <w:suppressAutoHyphens w:val="0"/>
    </w:pPr>
    <w:rPr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rsid w:val="00C5779C"/>
  </w:style>
  <w:style w:type="character" w:styleId="FootnoteReference">
    <w:name w:val="footnote reference"/>
    <w:uiPriority w:val="99"/>
    <w:rsid w:val="00C5779C"/>
    <w:rPr>
      <w:vertAlign w:val="superscript"/>
    </w:rPr>
  </w:style>
  <w:style w:type="character" w:customStyle="1" w:styleId="Heading4Char">
    <w:name w:val="Heading 4 Char"/>
    <w:link w:val="Heading4"/>
    <w:semiHidden/>
    <w:rsid w:val="00353B12"/>
    <w:rPr>
      <w:rFonts w:ascii="Calibri" w:eastAsia="Times New Roman" w:hAnsi="Calibri" w:cs="Times New Roman"/>
      <w:b/>
      <w:bCs/>
      <w:sz w:val="28"/>
      <w:szCs w:val="28"/>
      <w:lang w:val="en-GB" w:eastAsia="ar-SA"/>
    </w:rPr>
  </w:style>
  <w:style w:type="paragraph" w:customStyle="1" w:styleId="ListParagraph1">
    <w:name w:val="List Paragraph1"/>
    <w:basedOn w:val="Normal"/>
    <w:uiPriority w:val="34"/>
    <w:qFormat/>
    <w:rsid w:val="00B347A4"/>
    <w:pPr>
      <w:ind w:left="720"/>
    </w:pPr>
  </w:style>
  <w:style w:type="paragraph" w:styleId="EndnoteText">
    <w:name w:val="endnote text"/>
    <w:basedOn w:val="Normal"/>
    <w:link w:val="EndnoteTextChar"/>
    <w:rsid w:val="00180CA0"/>
  </w:style>
  <w:style w:type="character" w:customStyle="1" w:styleId="EndnoteTextChar">
    <w:name w:val="Endnote Text Char"/>
    <w:link w:val="EndnoteText"/>
    <w:rsid w:val="00180CA0"/>
    <w:rPr>
      <w:lang w:val="en-GB" w:eastAsia="ar-SA"/>
    </w:rPr>
  </w:style>
  <w:style w:type="character" w:styleId="EndnoteReference">
    <w:name w:val="endnote reference"/>
    <w:rsid w:val="00180CA0"/>
    <w:rPr>
      <w:vertAlign w:val="superscript"/>
    </w:rPr>
  </w:style>
  <w:style w:type="character" w:customStyle="1" w:styleId="apple-converted-space">
    <w:name w:val="apple-converted-space"/>
    <w:rsid w:val="00EF6533"/>
  </w:style>
  <w:style w:type="character" w:customStyle="1" w:styleId="il">
    <w:name w:val="il"/>
    <w:rsid w:val="00EF6533"/>
  </w:style>
  <w:style w:type="character" w:styleId="CommentReference">
    <w:name w:val="annotation reference"/>
    <w:rsid w:val="00EF6533"/>
    <w:rPr>
      <w:sz w:val="16"/>
      <w:szCs w:val="16"/>
    </w:rPr>
  </w:style>
  <w:style w:type="paragraph" w:styleId="CommentText">
    <w:name w:val="annotation text"/>
    <w:basedOn w:val="Normal"/>
    <w:link w:val="CommentTextChar"/>
    <w:rsid w:val="00EF6533"/>
    <w:pPr>
      <w:suppressAutoHyphens w:val="0"/>
    </w:pPr>
    <w:rPr>
      <w:lang w:val="sr-Latn-CS" w:eastAsia="sr-Latn-CS"/>
    </w:rPr>
  </w:style>
  <w:style w:type="character" w:styleId="Strong">
    <w:name w:val="Strong"/>
    <w:uiPriority w:val="22"/>
    <w:qFormat/>
    <w:rsid w:val="00575CDE"/>
    <w:rPr>
      <w:b/>
      <w:bCs/>
    </w:rPr>
  </w:style>
  <w:style w:type="paragraph" w:styleId="ListParagraph">
    <w:name w:val="List Paragraph"/>
    <w:basedOn w:val="Normal"/>
    <w:uiPriority w:val="99"/>
    <w:qFormat/>
    <w:rsid w:val="001807B9"/>
    <w:pPr>
      <w:widowControl w:val="0"/>
      <w:ind w:left="720"/>
    </w:pPr>
    <w:rPr>
      <w:rFonts w:ascii="Myriad Pro" w:eastAsia="Calibri" w:hAnsi="Myriad Pro"/>
      <w:kern w:val="1"/>
      <w:sz w:val="24"/>
      <w:szCs w:val="24"/>
      <w:lang w:val="en-US" w:eastAsia="hi-IN" w:bidi="hi-IN"/>
    </w:rPr>
  </w:style>
  <w:style w:type="character" w:styleId="PageNumber">
    <w:name w:val="page number"/>
    <w:rsid w:val="00F05F7B"/>
  </w:style>
  <w:style w:type="character" w:customStyle="1" w:styleId="highlight">
    <w:name w:val="highlight"/>
    <w:rsid w:val="00F05F7B"/>
  </w:style>
  <w:style w:type="paragraph" w:customStyle="1" w:styleId="clan">
    <w:name w:val="clan"/>
    <w:basedOn w:val="Normal"/>
    <w:rsid w:val="00F05F7B"/>
    <w:pPr>
      <w:suppressAutoHyphens w:val="0"/>
      <w:spacing w:before="240" w:after="120"/>
      <w:jc w:val="center"/>
    </w:pPr>
    <w:rPr>
      <w:rFonts w:ascii="Arial" w:hAnsi="Arial" w:cs="Arial"/>
      <w:b/>
      <w:bCs/>
      <w:sz w:val="24"/>
      <w:szCs w:val="24"/>
      <w:lang w:val="sr-Latn-CS" w:eastAsia="sr-Latn-CS"/>
    </w:rPr>
  </w:style>
  <w:style w:type="paragraph" w:customStyle="1" w:styleId="wyq110---naslov-clana">
    <w:name w:val="wyq110---naslov-clana"/>
    <w:basedOn w:val="Normal"/>
    <w:rsid w:val="00F05F7B"/>
    <w:pPr>
      <w:suppressAutoHyphens w:val="0"/>
      <w:spacing w:before="240" w:after="240"/>
      <w:jc w:val="center"/>
    </w:pPr>
    <w:rPr>
      <w:rFonts w:ascii="Arial" w:hAnsi="Arial" w:cs="Arial"/>
      <w:b/>
      <w:bCs/>
      <w:sz w:val="24"/>
      <w:szCs w:val="24"/>
      <w:lang w:val="sr-Latn-CS" w:eastAsia="sr-Latn-CS"/>
    </w:rPr>
  </w:style>
  <w:style w:type="paragraph" w:customStyle="1" w:styleId="normalboldcentar">
    <w:name w:val="normalboldcentar"/>
    <w:basedOn w:val="Normal"/>
    <w:rsid w:val="00F05F7B"/>
    <w:pP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  <w:lang w:val="sr-Latn-CS" w:eastAsia="sr-Latn-CS"/>
    </w:rPr>
  </w:style>
  <w:style w:type="paragraph" w:customStyle="1" w:styleId="Normal1">
    <w:name w:val="Normal1"/>
    <w:basedOn w:val="Normal"/>
    <w:rsid w:val="00F05F7B"/>
    <w:pPr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val="sr-Latn-CS" w:eastAsia="sr-Latn-CS"/>
    </w:rPr>
  </w:style>
  <w:style w:type="character" w:customStyle="1" w:styleId="Heading1Char">
    <w:name w:val="Heading 1 Char"/>
    <w:link w:val="Heading1"/>
    <w:rsid w:val="00F12B87"/>
    <w:rPr>
      <w:rFonts w:ascii="Cambria" w:eastAsia="Times New Roman" w:hAnsi="Cambria" w:cs="Times New Roman"/>
      <w:b/>
      <w:bCs/>
      <w:kern w:val="32"/>
      <w:sz w:val="32"/>
      <w:szCs w:val="32"/>
      <w:lang w:val="en-GB" w:eastAsia="ar-SA"/>
    </w:rPr>
  </w:style>
  <w:style w:type="character" w:styleId="FollowedHyperlink">
    <w:name w:val="FollowedHyperlink"/>
    <w:rsid w:val="00FD1F0E"/>
    <w:rPr>
      <w:color w:val="800080"/>
      <w:u w:val="single"/>
    </w:rPr>
  </w:style>
  <w:style w:type="paragraph" w:styleId="CommentSubject">
    <w:name w:val="annotation subject"/>
    <w:basedOn w:val="CommentText"/>
    <w:next w:val="CommentText"/>
    <w:link w:val="CommentSubjectChar"/>
    <w:rsid w:val="00037748"/>
    <w:pPr>
      <w:suppressAutoHyphens/>
    </w:pPr>
    <w:rPr>
      <w:b/>
      <w:bCs/>
      <w:lang w:val="en-GB" w:eastAsia="ar-SA"/>
    </w:rPr>
  </w:style>
  <w:style w:type="character" w:customStyle="1" w:styleId="CommentTextChar">
    <w:name w:val="Comment Text Char"/>
    <w:link w:val="CommentText"/>
    <w:rsid w:val="00037748"/>
    <w:rPr>
      <w:lang w:val="sr-Latn-CS" w:eastAsia="sr-Latn-CS"/>
    </w:rPr>
  </w:style>
  <w:style w:type="character" w:customStyle="1" w:styleId="CommentSubjectChar">
    <w:name w:val="Comment Subject Char"/>
    <w:link w:val="CommentSubject"/>
    <w:rsid w:val="00037748"/>
    <w:rPr>
      <w:b/>
      <w:bCs/>
      <w:lang w:val="en-GB" w:eastAsia="ar-SA"/>
    </w:rPr>
  </w:style>
  <w:style w:type="character" w:styleId="Emphasis">
    <w:name w:val="Emphasis"/>
    <w:qFormat/>
    <w:rsid w:val="00452BD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0C15"/>
    <w:pPr>
      <w:suppressAutoHyphens/>
    </w:pPr>
    <w:rPr>
      <w:lang w:val="en-GB" w:eastAsia="ar-SA"/>
    </w:rPr>
  </w:style>
  <w:style w:type="paragraph" w:styleId="Heading1">
    <w:name w:val="heading 1"/>
    <w:basedOn w:val="Normal"/>
    <w:next w:val="Normal"/>
    <w:link w:val="Heading1Char"/>
    <w:qFormat/>
    <w:rsid w:val="00F12B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353B1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A4E2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A4E20"/>
    <w:pPr>
      <w:tabs>
        <w:tab w:val="center" w:pos="4320"/>
        <w:tab w:val="right" w:pos="8640"/>
      </w:tabs>
    </w:pPr>
  </w:style>
  <w:style w:type="character" w:styleId="Hyperlink">
    <w:name w:val="Hyperlink"/>
    <w:rsid w:val="005A4E20"/>
    <w:rPr>
      <w:color w:val="0000FF"/>
      <w:u w:val="single"/>
    </w:rPr>
  </w:style>
  <w:style w:type="paragraph" w:styleId="BalloonText">
    <w:name w:val="Balloon Text"/>
    <w:basedOn w:val="Normal"/>
    <w:semiHidden/>
    <w:rsid w:val="0050538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3E0A5B"/>
    <w:pPr>
      <w:suppressAutoHyphens w:val="0"/>
    </w:pPr>
    <w:rPr>
      <w:sz w:val="24"/>
      <w:szCs w:val="24"/>
      <w:lang w:val="sr-Latn-CS" w:eastAsia="sr-Latn-CS"/>
    </w:rPr>
  </w:style>
  <w:style w:type="paragraph" w:styleId="FootnoteText">
    <w:name w:val="footnote text"/>
    <w:basedOn w:val="Normal"/>
    <w:link w:val="FootnoteTextChar"/>
    <w:rsid w:val="00C5779C"/>
    <w:pPr>
      <w:suppressAutoHyphens w:val="0"/>
    </w:pPr>
    <w:rPr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rsid w:val="00C5779C"/>
  </w:style>
  <w:style w:type="character" w:styleId="FootnoteReference">
    <w:name w:val="footnote reference"/>
    <w:uiPriority w:val="99"/>
    <w:rsid w:val="00C5779C"/>
    <w:rPr>
      <w:vertAlign w:val="superscript"/>
    </w:rPr>
  </w:style>
  <w:style w:type="character" w:customStyle="1" w:styleId="Heading4Char">
    <w:name w:val="Heading 4 Char"/>
    <w:link w:val="Heading4"/>
    <w:semiHidden/>
    <w:rsid w:val="00353B12"/>
    <w:rPr>
      <w:rFonts w:ascii="Calibri" w:eastAsia="Times New Roman" w:hAnsi="Calibri" w:cs="Times New Roman"/>
      <w:b/>
      <w:bCs/>
      <w:sz w:val="28"/>
      <w:szCs w:val="28"/>
      <w:lang w:val="en-GB" w:eastAsia="ar-SA"/>
    </w:rPr>
  </w:style>
  <w:style w:type="paragraph" w:customStyle="1" w:styleId="ListParagraph1">
    <w:name w:val="List Paragraph1"/>
    <w:basedOn w:val="Normal"/>
    <w:uiPriority w:val="34"/>
    <w:qFormat/>
    <w:rsid w:val="00B347A4"/>
    <w:pPr>
      <w:ind w:left="720"/>
    </w:pPr>
  </w:style>
  <w:style w:type="paragraph" w:styleId="EndnoteText">
    <w:name w:val="endnote text"/>
    <w:basedOn w:val="Normal"/>
    <w:link w:val="EndnoteTextChar"/>
    <w:rsid w:val="00180CA0"/>
  </w:style>
  <w:style w:type="character" w:customStyle="1" w:styleId="EndnoteTextChar">
    <w:name w:val="Endnote Text Char"/>
    <w:link w:val="EndnoteText"/>
    <w:rsid w:val="00180CA0"/>
    <w:rPr>
      <w:lang w:val="en-GB" w:eastAsia="ar-SA"/>
    </w:rPr>
  </w:style>
  <w:style w:type="character" w:styleId="EndnoteReference">
    <w:name w:val="endnote reference"/>
    <w:rsid w:val="00180CA0"/>
    <w:rPr>
      <w:vertAlign w:val="superscript"/>
    </w:rPr>
  </w:style>
  <w:style w:type="character" w:customStyle="1" w:styleId="apple-converted-space">
    <w:name w:val="apple-converted-space"/>
    <w:rsid w:val="00EF6533"/>
  </w:style>
  <w:style w:type="character" w:customStyle="1" w:styleId="il">
    <w:name w:val="il"/>
    <w:rsid w:val="00EF6533"/>
  </w:style>
  <w:style w:type="character" w:styleId="CommentReference">
    <w:name w:val="annotation reference"/>
    <w:rsid w:val="00EF6533"/>
    <w:rPr>
      <w:sz w:val="16"/>
      <w:szCs w:val="16"/>
    </w:rPr>
  </w:style>
  <w:style w:type="paragraph" w:styleId="CommentText">
    <w:name w:val="annotation text"/>
    <w:basedOn w:val="Normal"/>
    <w:link w:val="CommentTextChar"/>
    <w:rsid w:val="00EF6533"/>
    <w:pPr>
      <w:suppressAutoHyphens w:val="0"/>
    </w:pPr>
    <w:rPr>
      <w:lang w:val="sr-Latn-CS" w:eastAsia="sr-Latn-CS"/>
    </w:rPr>
  </w:style>
  <w:style w:type="character" w:styleId="Strong">
    <w:name w:val="Strong"/>
    <w:uiPriority w:val="22"/>
    <w:qFormat/>
    <w:rsid w:val="00575CDE"/>
    <w:rPr>
      <w:b/>
      <w:bCs/>
    </w:rPr>
  </w:style>
  <w:style w:type="paragraph" w:styleId="ListParagraph">
    <w:name w:val="List Paragraph"/>
    <w:basedOn w:val="Normal"/>
    <w:uiPriority w:val="99"/>
    <w:qFormat/>
    <w:rsid w:val="001807B9"/>
    <w:pPr>
      <w:widowControl w:val="0"/>
      <w:ind w:left="720"/>
    </w:pPr>
    <w:rPr>
      <w:rFonts w:ascii="Myriad Pro" w:eastAsia="Calibri" w:hAnsi="Myriad Pro"/>
      <w:kern w:val="1"/>
      <w:sz w:val="24"/>
      <w:szCs w:val="24"/>
      <w:lang w:val="en-US" w:eastAsia="hi-IN" w:bidi="hi-IN"/>
    </w:rPr>
  </w:style>
  <w:style w:type="character" w:styleId="PageNumber">
    <w:name w:val="page number"/>
    <w:rsid w:val="00F05F7B"/>
  </w:style>
  <w:style w:type="character" w:customStyle="1" w:styleId="highlight">
    <w:name w:val="highlight"/>
    <w:rsid w:val="00F05F7B"/>
  </w:style>
  <w:style w:type="paragraph" w:customStyle="1" w:styleId="clan">
    <w:name w:val="clan"/>
    <w:basedOn w:val="Normal"/>
    <w:rsid w:val="00F05F7B"/>
    <w:pPr>
      <w:suppressAutoHyphens w:val="0"/>
      <w:spacing w:before="240" w:after="120"/>
      <w:jc w:val="center"/>
    </w:pPr>
    <w:rPr>
      <w:rFonts w:ascii="Arial" w:hAnsi="Arial" w:cs="Arial"/>
      <w:b/>
      <w:bCs/>
      <w:sz w:val="24"/>
      <w:szCs w:val="24"/>
      <w:lang w:val="sr-Latn-CS" w:eastAsia="sr-Latn-CS"/>
    </w:rPr>
  </w:style>
  <w:style w:type="paragraph" w:customStyle="1" w:styleId="wyq110---naslov-clana">
    <w:name w:val="wyq110---naslov-clana"/>
    <w:basedOn w:val="Normal"/>
    <w:rsid w:val="00F05F7B"/>
    <w:pPr>
      <w:suppressAutoHyphens w:val="0"/>
      <w:spacing w:before="240" w:after="240"/>
      <w:jc w:val="center"/>
    </w:pPr>
    <w:rPr>
      <w:rFonts w:ascii="Arial" w:hAnsi="Arial" w:cs="Arial"/>
      <w:b/>
      <w:bCs/>
      <w:sz w:val="24"/>
      <w:szCs w:val="24"/>
      <w:lang w:val="sr-Latn-CS" w:eastAsia="sr-Latn-CS"/>
    </w:rPr>
  </w:style>
  <w:style w:type="paragraph" w:customStyle="1" w:styleId="normalboldcentar">
    <w:name w:val="normalboldcentar"/>
    <w:basedOn w:val="Normal"/>
    <w:rsid w:val="00F05F7B"/>
    <w:pP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  <w:lang w:val="sr-Latn-CS" w:eastAsia="sr-Latn-CS"/>
    </w:rPr>
  </w:style>
  <w:style w:type="paragraph" w:customStyle="1" w:styleId="Normal1">
    <w:name w:val="Normal1"/>
    <w:basedOn w:val="Normal"/>
    <w:rsid w:val="00F05F7B"/>
    <w:pPr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val="sr-Latn-CS" w:eastAsia="sr-Latn-CS"/>
    </w:rPr>
  </w:style>
  <w:style w:type="character" w:customStyle="1" w:styleId="Heading1Char">
    <w:name w:val="Heading 1 Char"/>
    <w:link w:val="Heading1"/>
    <w:rsid w:val="00F12B87"/>
    <w:rPr>
      <w:rFonts w:ascii="Cambria" w:eastAsia="Times New Roman" w:hAnsi="Cambria" w:cs="Times New Roman"/>
      <w:b/>
      <w:bCs/>
      <w:kern w:val="32"/>
      <w:sz w:val="32"/>
      <w:szCs w:val="32"/>
      <w:lang w:val="en-GB" w:eastAsia="ar-SA"/>
    </w:rPr>
  </w:style>
  <w:style w:type="character" w:styleId="FollowedHyperlink">
    <w:name w:val="FollowedHyperlink"/>
    <w:rsid w:val="00FD1F0E"/>
    <w:rPr>
      <w:color w:val="800080"/>
      <w:u w:val="single"/>
    </w:rPr>
  </w:style>
  <w:style w:type="paragraph" w:styleId="CommentSubject">
    <w:name w:val="annotation subject"/>
    <w:basedOn w:val="CommentText"/>
    <w:next w:val="CommentText"/>
    <w:link w:val="CommentSubjectChar"/>
    <w:rsid w:val="00037748"/>
    <w:pPr>
      <w:suppressAutoHyphens/>
    </w:pPr>
    <w:rPr>
      <w:b/>
      <w:bCs/>
      <w:lang w:val="en-GB" w:eastAsia="ar-SA"/>
    </w:rPr>
  </w:style>
  <w:style w:type="character" w:customStyle="1" w:styleId="CommentTextChar">
    <w:name w:val="Comment Text Char"/>
    <w:link w:val="CommentText"/>
    <w:rsid w:val="00037748"/>
    <w:rPr>
      <w:lang w:val="sr-Latn-CS" w:eastAsia="sr-Latn-CS"/>
    </w:rPr>
  </w:style>
  <w:style w:type="character" w:customStyle="1" w:styleId="CommentSubjectChar">
    <w:name w:val="Comment Subject Char"/>
    <w:link w:val="CommentSubject"/>
    <w:rsid w:val="00037748"/>
    <w:rPr>
      <w:b/>
      <w:bCs/>
      <w:lang w:val="en-GB" w:eastAsia="ar-SA"/>
    </w:rPr>
  </w:style>
  <w:style w:type="character" w:styleId="Emphasis">
    <w:name w:val="Emphasis"/>
    <w:qFormat/>
    <w:rsid w:val="00452BD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0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8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8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8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1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5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1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3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4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1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8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0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1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verenik.rs/sr/o-nama/godisnji-izvestaji/2048-izvestaj-poverenika-za-2014-godinu.html" TargetMode="External"/><Relationship Id="rId1" Type="http://schemas.openxmlformats.org/officeDocument/2006/relationships/hyperlink" Target="http://www.poverenik.rs/images/stories/dokumentacija-nova/podzakonski-akti/uputstvo-informator/uputstvozainformatorecir.doc.doc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transparentnost.org.rs" TargetMode="External"/><Relationship Id="rId1" Type="http://schemas.openxmlformats.org/officeDocument/2006/relationships/hyperlink" Target="http://www.transparentnost.org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A3EF8-0E7B-4A3C-A82D-D848C3011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1723</Words>
  <Characters>9827</Characters>
  <Application>Microsoft Office Word</Application>
  <DocSecurity>0</DocSecurity>
  <Lines>81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Poštovani gospodine Vujčić,</vt:lpstr>
      <vt:lpstr>Poštovani gospodine Vujčić,</vt:lpstr>
    </vt:vector>
  </TitlesOfParts>
  <Company>Transparency Serbia</Company>
  <LinksUpToDate>false</LinksUpToDate>
  <CharactersWithSpaces>11527</CharactersWithSpaces>
  <SharedDoc>false</SharedDoc>
  <HLinks>
    <vt:vector size="12" baseType="variant">
      <vt:variant>
        <vt:i4>3932219</vt:i4>
      </vt:variant>
      <vt:variant>
        <vt:i4>0</vt:i4>
      </vt:variant>
      <vt:variant>
        <vt:i4>0</vt:i4>
      </vt:variant>
      <vt:variant>
        <vt:i4>5</vt:i4>
      </vt:variant>
      <vt:variant>
        <vt:lpwstr>http://www.poverenik.rs/images/stories/dokumentacija-nova/podzakonski-akti/uputstvo-informator/uputstvozainformatorecir.doc.doc</vt:lpwstr>
      </vt:variant>
      <vt:variant>
        <vt:lpwstr/>
      </vt:variant>
      <vt:variant>
        <vt:i4>7536700</vt:i4>
      </vt:variant>
      <vt:variant>
        <vt:i4>0</vt:i4>
      </vt:variant>
      <vt:variant>
        <vt:i4>0</vt:i4>
      </vt:variant>
      <vt:variant>
        <vt:i4>5</vt:i4>
      </vt:variant>
      <vt:variant>
        <vt:lpwstr>http://www.transparentnost.org.rs/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Bojana</cp:lastModifiedBy>
  <cp:revision>2</cp:revision>
  <cp:lastPrinted>2014-01-14T12:16:00Z</cp:lastPrinted>
  <dcterms:created xsi:type="dcterms:W3CDTF">2015-05-21T12:01:00Z</dcterms:created>
  <dcterms:modified xsi:type="dcterms:W3CDTF">2015-05-21T12:01:00Z</dcterms:modified>
</cp:coreProperties>
</file>