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8" w:rsidRDefault="005A17AA" w:rsidP="005A17AA">
      <w:pPr>
        <w:pStyle w:val="ListParagraph"/>
        <w:numPr>
          <w:ilvl w:val="0"/>
          <w:numId w:val="1"/>
        </w:numPr>
      </w:pPr>
      <w:r w:rsidRPr="005A17AA">
        <w:t xml:space="preserve">City Assembly's decision on forming working </w:t>
      </w:r>
      <w:proofErr w:type="spellStart"/>
      <w:r w:rsidRPr="005A17AA">
        <w:t>group,SRB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 xml:space="preserve">Technical guidelines on working </w:t>
      </w:r>
      <w:proofErr w:type="spellStart"/>
      <w:r w:rsidRPr="005A17AA">
        <w:t>regimes_Beoelektrane_Serbian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proofErr w:type="spellStart"/>
      <w:r w:rsidRPr="005A17AA">
        <w:t>WasteProjections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proofErr w:type="spellStart"/>
      <w:r w:rsidRPr="005A17AA">
        <w:t>Moody's_Credit</w:t>
      </w:r>
      <w:proofErr w:type="spellEnd"/>
      <w:r w:rsidRPr="005A17AA">
        <w:t xml:space="preserve"> </w:t>
      </w:r>
      <w:proofErr w:type="spellStart"/>
      <w:r w:rsidRPr="005A17AA">
        <w:t>Opinion_Belgrade</w:t>
      </w:r>
      <w:proofErr w:type="spellEnd"/>
      <w:r w:rsidRPr="005A17AA">
        <w:t xml:space="preserve"> City </w:t>
      </w:r>
      <w:proofErr w:type="spellStart"/>
      <w:r w:rsidRPr="005A17AA">
        <w:t>of_Published</w:t>
      </w:r>
      <w:proofErr w:type="spellEnd"/>
      <w:r w:rsidRPr="005A17AA">
        <w:t xml:space="preserve"> 26 Oct 2016</w:t>
      </w:r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 xml:space="preserve">Model </w:t>
      </w:r>
      <w:proofErr w:type="spellStart"/>
      <w:r w:rsidRPr="005A17AA">
        <w:t>ugovora</w:t>
      </w:r>
      <w:proofErr w:type="spellEnd"/>
      <w:r w:rsidRPr="005A17AA">
        <w:t xml:space="preserve"> o </w:t>
      </w:r>
      <w:proofErr w:type="spellStart"/>
      <w:r w:rsidRPr="005A17AA">
        <w:t>otkupu</w:t>
      </w:r>
      <w:proofErr w:type="spellEnd"/>
      <w:r w:rsidRPr="005A17AA">
        <w:t xml:space="preserve"> el </w:t>
      </w:r>
      <w:proofErr w:type="spellStart"/>
      <w:r w:rsidRPr="005A17AA">
        <w:t>energije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 xml:space="preserve">Weighbridge Raw </w:t>
      </w:r>
      <w:proofErr w:type="spellStart"/>
      <w:r w:rsidRPr="005A17AA">
        <w:t>Data_ExplanatoryNote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>EBRD Performance Requirements</w:t>
      </w:r>
    </w:p>
    <w:p w:rsidR="005A17AA" w:rsidRDefault="005A17AA" w:rsidP="005A17AA">
      <w:pPr>
        <w:pStyle w:val="ListParagraph"/>
        <w:numPr>
          <w:ilvl w:val="0"/>
          <w:numId w:val="1"/>
        </w:numPr>
      </w:pPr>
      <w:proofErr w:type="spellStart"/>
      <w:r w:rsidRPr="005A17AA">
        <w:t>E&amp;S_ScopingReport_Draft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>IFC Performance Standards on Environmental and Social Sustainability</w:t>
      </w:r>
    </w:p>
    <w:p w:rsidR="005A17AA" w:rsidRDefault="005A17AA" w:rsidP="005A17AA">
      <w:pPr>
        <w:pStyle w:val="ListParagraph"/>
        <w:numPr>
          <w:ilvl w:val="0"/>
          <w:numId w:val="1"/>
        </w:numPr>
      </w:pPr>
      <w:r w:rsidRPr="005A17AA">
        <w:t>IFC Environmental, Health, and Safety Guidelines for Waste facilities</w:t>
      </w:r>
    </w:p>
    <w:p w:rsidR="005A17AA" w:rsidRDefault="005A17AA" w:rsidP="005A17AA">
      <w:pPr>
        <w:pStyle w:val="ListParagraph"/>
        <w:numPr>
          <w:ilvl w:val="0"/>
          <w:numId w:val="1"/>
        </w:numPr>
      </w:pPr>
      <w:proofErr w:type="spellStart"/>
      <w:r w:rsidRPr="005A17AA">
        <w:t>Uredba</w:t>
      </w:r>
      <w:proofErr w:type="spellEnd"/>
      <w:r w:rsidRPr="005A17AA">
        <w:t xml:space="preserve"> o </w:t>
      </w:r>
      <w:proofErr w:type="spellStart"/>
      <w:r w:rsidRPr="005A17AA">
        <w:t>ugovoru</w:t>
      </w:r>
      <w:proofErr w:type="spellEnd"/>
      <w:r w:rsidRPr="005A17AA">
        <w:t xml:space="preserve"> o </w:t>
      </w:r>
      <w:proofErr w:type="spellStart"/>
      <w:r w:rsidRPr="005A17AA">
        <w:t>otkupu</w:t>
      </w:r>
      <w:proofErr w:type="spellEnd"/>
      <w:r w:rsidRPr="005A17AA">
        <w:t xml:space="preserve"> </w:t>
      </w:r>
      <w:proofErr w:type="spellStart"/>
      <w:r w:rsidRPr="005A17AA">
        <w:t>električne</w:t>
      </w:r>
      <w:proofErr w:type="spellEnd"/>
      <w:r w:rsidRPr="005A17AA">
        <w:t xml:space="preserve"> </w:t>
      </w:r>
      <w:proofErr w:type="spellStart"/>
      <w:r w:rsidRPr="005A17AA">
        <w:t>energije</w:t>
      </w:r>
      <w:proofErr w:type="spellEnd"/>
    </w:p>
    <w:p w:rsidR="005A17AA" w:rsidRDefault="005A17AA" w:rsidP="005A17AA">
      <w:pPr>
        <w:pStyle w:val="ListParagraph"/>
        <w:numPr>
          <w:ilvl w:val="0"/>
          <w:numId w:val="1"/>
        </w:numPr>
      </w:pPr>
      <w:proofErr w:type="spellStart"/>
      <w:r w:rsidRPr="005A17AA">
        <w:t>RFQ_Final_ENG</w:t>
      </w:r>
      <w:proofErr w:type="spellEnd"/>
    </w:p>
    <w:p w:rsidR="005A17AA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RFQ_Final_SRB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Resenje</w:t>
      </w:r>
      <w:proofErr w:type="spellEnd"/>
      <w:r w:rsidRPr="006C273E">
        <w:t>_-ê-ƒ-ƒ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 xml:space="preserve">Project Teaser - </w:t>
      </w:r>
      <w:proofErr w:type="spellStart"/>
      <w:r w:rsidRPr="006C273E">
        <w:t>Vinca</w:t>
      </w:r>
      <w:proofErr w:type="spellEnd"/>
      <w:r w:rsidRPr="006C273E">
        <w:t>, ENG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Prethodno</w:t>
      </w:r>
      <w:proofErr w:type="spellEnd"/>
      <w:r w:rsidRPr="006C273E">
        <w:t xml:space="preserve"> </w:t>
      </w:r>
      <w:proofErr w:type="spellStart"/>
      <w:r w:rsidRPr="006C273E">
        <w:t>obavestenje</w:t>
      </w:r>
      <w:proofErr w:type="spellEnd"/>
      <w:r w:rsidRPr="006C273E">
        <w:t xml:space="preserve"> </w:t>
      </w:r>
      <w:proofErr w:type="spellStart"/>
      <w:r w:rsidRPr="006C273E">
        <w:t>Vinca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Odluka</w:t>
      </w:r>
      <w:proofErr w:type="spellEnd"/>
      <w:r w:rsidRPr="006C273E">
        <w:t xml:space="preserve"> o </w:t>
      </w:r>
      <w:proofErr w:type="spellStart"/>
      <w:r w:rsidRPr="006C273E">
        <w:t>priznavanju</w:t>
      </w:r>
      <w:proofErr w:type="spellEnd"/>
      <w:r w:rsidRPr="006C273E">
        <w:t xml:space="preserve"> </w:t>
      </w:r>
      <w:proofErr w:type="spellStart"/>
      <w:r w:rsidRPr="006C273E">
        <w:t>kvalifikacije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ODLUKA O POKRETANJU_-ê-ƒ-ƒ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 xml:space="preserve">JPP </w:t>
      </w:r>
      <w:proofErr w:type="spellStart"/>
      <w:r w:rsidRPr="006C273E">
        <w:t>Vinca</w:t>
      </w:r>
      <w:proofErr w:type="spellEnd"/>
      <w:r w:rsidRPr="006C273E">
        <w:t xml:space="preserve"> </w:t>
      </w:r>
      <w:proofErr w:type="spellStart"/>
      <w:r w:rsidRPr="006C273E">
        <w:t>Sl.glasnik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 xml:space="preserve">JPP </w:t>
      </w:r>
      <w:proofErr w:type="spellStart"/>
      <w:r w:rsidRPr="006C273E">
        <w:t>Vinca</w:t>
      </w:r>
      <w:proofErr w:type="spellEnd"/>
      <w:r w:rsidRPr="006C273E">
        <w:t xml:space="preserve"> </w:t>
      </w:r>
      <w:proofErr w:type="spellStart"/>
      <w:r w:rsidRPr="006C273E">
        <w:t>srb-poziv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Izvestaj</w:t>
      </w:r>
      <w:proofErr w:type="spellEnd"/>
      <w:r w:rsidRPr="006C273E">
        <w:t xml:space="preserve"> o </w:t>
      </w:r>
      <w:proofErr w:type="spellStart"/>
      <w:r w:rsidRPr="006C273E">
        <w:t>strucnoj</w:t>
      </w:r>
      <w:proofErr w:type="spellEnd"/>
      <w:r w:rsidRPr="006C273E">
        <w:t xml:space="preserve"> </w:t>
      </w:r>
      <w:proofErr w:type="spellStart"/>
      <w:r w:rsidRPr="006C273E">
        <w:t>oceni</w:t>
      </w:r>
      <w:proofErr w:type="spellEnd"/>
      <w:r w:rsidRPr="006C273E">
        <w:t xml:space="preserve"> </w:t>
      </w:r>
      <w:proofErr w:type="spellStart"/>
      <w:r w:rsidRPr="006C273E">
        <w:t>prijava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Guide for the Bidders - QA_ENG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Guide for the Bidders - QA_SRB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404-6123 - 19-08  404-12-dv-1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Tender_Documents_for_Dialogue_Phase_ENG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proofErr w:type="spellStart"/>
      <w:r w:rsidRPr="006C273E">
        <w:t>Tender_Documents_for_Dialogue_Phase_SRB</w:t>
      </w:r>
      <w:proofErr w:type="spellEnd"/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HeatOffTakeAgreement_SRB_Apr2017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PPP Contract_Schedules_SER_13Apr17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PPP_Contract_SER_Apr17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 2_Part_4_Performance_Monitoring_Framework_SER_13Apr17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 2_Part_5_Monitoring_KPI_SER_13Apr17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4_Payment  Mechanism_SER_13Apr17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4_Payment  Mechanism_SER_13Apr17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9_ES_13Apr17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 18_Change Protocol_SER_13Apr17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Schedule_2_Output_Specifications_SER_13Apr17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Schedule_2_Part_6_Site_Condition_Monitoring_SER_13Apr17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Schedule_2_Part_7_Incoming_Waste_Parameters_SER_13Apr17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Schedule_9_Appendix_1_SER_13Apr17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Schedule_12_Tests_SER_13Apr17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Schedule_15_Insurances_SER_13Apr17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Schedule_25_Waste_Delivery_Protocol_SER_13Apr17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lastRenderedPageBreak/>
        <w:t>Schedule_26_Interface_SER_13Apr17</w:t>
      </w:r>
    </w:p>
    <w:p w:rsidR="006C273E" w:rsidRDefault="006C273E" w:rsidP="006C273E">
      <w:pPr>
        <w:pStyle w:val="ListParagraph"/>
        <w:numPr>
          <w:ilvl w:val="0"/>
          <w:numId w:val="1"/>
        </w:numPr>
      </w:pPr>
      <w:r w:rsidRPr="006C273E">
        <w:t>Schedule_29_Waste Policy_SRB_Apr2017</w:t>
      </w:r>
    </w:p>
    <w:p w:rsidR="006C273E" w:rsidRDefault="002E5A7B" w:rsidP="006C273E">
      <w:pPr>
        <w:pStyle w:val="ListParagraph"/>
        <w:numPr>
          <w:ilvl w:val="0"/>
          <w:numId w:val="1"/>
        </w:numPr>
      </w:pPr>
      <w:r w:rsidRPr="002E5A7B">
        <w:t>HeatOffTakeAgreement_Apr2017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PPP_Contract_Apr2017_final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PPPContract_Schedules_Apr2017_final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 2_Part_4_Performance_Monitoring_Framework_Apr2017_final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 2_Part_5_Monitoring_KPI_Apr2017_final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 4_Payment Mechanism_Apr2017_final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Schedule_2_Output_Specifications_Apr2017_final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Schedule_2_Part_6_Site_Condition_Monitoring_Apr2017_final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Schedule_2_Part_7_Incoming_Waste_Parameters_Apr2017_final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Schedule_9_Appendix_1_Apr2017_final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Schedule_9_E&amp;S_Apr2017_final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Schedule_12_Tests_Apr2017_final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Schedule_15_Insurances_Apr2017_Final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Schedule_18_Change Protocol_Apr2017_final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Schedule_25_Waste_Delivery_Protocol_Apr2017_final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Schedule_26_Interface_Apr2017_final</w:t>
      </w:r>
    </w:p>
    <w:p w:rsidR="002E5A7B" w:rsidRDefault="002E5A7B" w:rsidP="006C273E">
      <w:pPr>
        <w:pStyle w:val="ListParagraph"/>
        <w:numPr>
          <w:ilvl w:val="0"/>
          <w:numId w:val="1"/>
        </w:numPr>
      </w:pPr>
      <w:r w:rsidRPr="002E5A7B">
        <w:t>Schedule_29_Waste Policy_Apr2017_final</w:t>
      </w:r>
    </w:p>
    <w:p w:rsidR="002E5A7B" w:rsidRDefault="002315EA" w:rsidP="006C273E">
      <w:pPr>
        <w:pStyle w:val="ListParagraph"/>
        <w:numPr>
          <w:ilvl w:val="0"/>
          <w:numId w:val="1"/>
        </w:numPr>
      </w:pPr>
      <w:r w:rsidRPr="002315EA">
        <w:t>Appendix_A_Part1_Technical_Requirements_&amp;_Forms_Final_ENG_10Apr2017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Appendix_A_Part2_Financial_Requirements_Final_ENG_10Apr2017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Appendix_C_Financial_Forms_Final_ENG_10Apr2017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Appendix_C_Legal_Forms_Final_ENG_10Apr2017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Appendix_H_SFTS_Final_ENG_10Apr2017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Invitation_FinalStage_Final_ENG_10Apr2017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Tender_Documents_Final_ENG_10Apr2017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Appendix_A_Part1_Technical_Requirements_&amp;_Forms_final_SER_12Apr17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Appendix_A_Part2_Financial_Requirements_final_SER_12Apr17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Appendix_C_Financial_Forms_Final_12Apr17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Appendix_C_Legal_Forms_Final_SER_12Apr17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Appendix_H_SFTS_final_SER_12Apr17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Invitation_FinalStage_final_SER_10Apr17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Tender documents_final_SER_10Apr17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DM1_Day1_AttendanceList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DM1_Day1_Minutes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DM1_Day2_AttendanceList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DM1_Day2_Minutes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DM1_Day3_AttendanceList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DM1_Day3_Minutes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DM1_Day4_AttendanceList</w:t>
      </w:r>
    </w:p>
    <w:p w:rsidR="002315EA" w:rsidRDefault="002315EA" w:rsidP="006C273E">
      <w:pPr>
        <w:pStyle w:val="ListParagraph"/>
        <w:numPr>
          <w:ilvl w:val="0"/>
          <w:numId w:val="1"/>
        </w:numPr>
      </w:pPr>
      <w:r w:rsidRPr="002315EA">
        <w:t>DM1_Day4_Minutes</w:t>
      </w:r>
    </w:p>
    <w:p w:rsidR="002315EA" w:rsidRDefault="00767D87" w:rsidP="006C273E">
      <w:pPr>
        <w:pStyle w:val="ListParagraph"/>
        <w:numPr>
          <w:ilvl w:val="0"/>
          <w:numId w:val="1"/>
        </w:numPr>
      </w:pPr>
      <w:r w:rsidRPr="00767D87">
        <w:t>DM1_Day5_AttendanceList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lastRenderedPageBreak/>
        <w:t>DM1_Day5_Minutes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DM1-Schedule_detailed_revised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DM2_AttendanceSheet_Day1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DM2_AttendanceSheet_Day2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DM2_AttendanceSheet_Day3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DM2_AttendanceSheet_Day4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DM2_Minutes Day1-City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DM2_Minutes Day2-City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DM2_Minutes Day3-City</w:t>
      </w:r>
    </w:p>
    <w:p w:rsidR="00767D87" w:rsidRDefault="00767D87" w:rsidP="006C273E">
      <w:pPr>
        <w:pStyle w:val="ListParagraph"/>
        <w:numPr>
          <w:ilvl w:val="0"/>
          <w:numId w:val="1"/>
        </w:numPr>
      </w:pPr>
      <w:r w:rsidRPr="00767D87">
        <w:t>DM2_Minutes Day4-City</w:t>
      </w:r>
    </w:p>
    <w:p w:rsidR="00767D87" w:rsidRDefault="00975C4D" w:rsidP="006C273E">
      <w:pPr>
        <w:pStyle w:val="ListParagraph"/>
        <w:numPr>
          <w:ilvl w:val="0"/>
          <w:numId w:val="1"/>
        </w:numPr>
      </w:pPr>
      <w:proofErr w:type="spellStart"/>
      <w:r w:rsidRPr="00975C4D">
        <w:t>Minutes_FCC_Dec</w:t>
      </w:r>
      <w:proofErr w:type="spellEnd"/>
      <w:r w:rsidRPr="00975C4D">
        <w:t xml:space="preserve"> 13-14 2016</w:t>
      </w:r>
    </w:p>
    <w:p w:rsidR="00975C4D" w:rsidRDefault="00975C4D" w:rsidP="006C273E">
      <w:pPr>
        <w:pStyle w:val="ListParagraph"/>
        <w:numPr>
          <w:ilvl w:val="0"/>
          <w:numId w:val="1"/>
        </w:numPr>
      </w:pPr>
      <w:proofErr w:type="spellStart"/>
      <w:r w:rsidRPr="00975C4D">
        <w:t>Minutes_Suez_Dec</w:t>
      </w:r>
      <w:proofErr w:type="spellEnd"/>
      <w:r w:rsidRPr="00975C4D">
        <w:t xml:space="preserve"> 13-14 2016</w:t>
      </w:r>
    </w:p>
    <w:p w:rsidR="00975C4D" w:rsidRDefault="00975C4D" w:rsidP="006C273E">
      <w:pPr>
        <w:pStyle w:val="ListParagraph"/>
        <w:numPr>
          <w:ilvl w:val="0"/>
          <w:numId w:val="1"/>
        </w:numPr>
      </w:pPr>
      <w:proofErr w:type="spellStart"/>
      <w:r w:rsidRPr="00975C4D">
        <w:t>Minutes_Urbaser_Dec</w:t>
      </w:r>
      <w:proofErr w:type="spellEnd"/>
      <w:r w:rsidRPr="00975C4D">
        <w:t xml:space="preserve"> 15-16 2016</w:t>
      </w:r>
    </w:p>
    <w:p w:rsidR="00975C4D" w:rsidRDefault="00975C4D" w:rsidP="006C273E">
      <w:pPr>
        <w:pStyle w:val="ListParagraph"/>
        <w:numPr>
          <w:ilvl w:val="0"/>
          <w:numId w:val="1"/>
        </w:numPr>
      </w:pPr>
      <w:proofErr w:type="spellStart"/>
      <w:r w:rsidRPr="00975C4D">
        <w:t>Minutes_Veolia_Dec</w:t>
      </w:r>
      <w:proofErr w:type="spellEnd"/>
      <w:r w:rsidRPr="00975C4D">
        <w:t xml:space="preserve"> 15-16 2016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proofErr w:type="spellStart"/>
      <w:r w:rsidRPr="0020559A">
        <w:t>PPP_Contract_final_clean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proofErr w:type="spellStart"/>
      <w:r w:rsidRPr="0020559A">
        <w:t>PPP_Contract_Schedules_final_clean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 2_Part_4_Performance_Monitoring_Framework_final_clean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 2_Part_5_Monitoring_KPI_final_clean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 xml:space="preserve">Schedule 4_Payment </w:t>
      </w:r>
      <w:proofErr w:type="spellStart"/>
      <w:r w:rsidRPr="0020559A">
        <w:t>Mechanism_final_clean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Schedule_2_Output_Specifications_final_clean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Schedule_2_Part_6_Site_Condition_Monitoring_final_clean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Schedule_2_Part_7_Incoming_Waste_Parameters_final_clean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Schedule_7_Part_3_Site_plan_final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Schedule_9_Appendix_1_final_clean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Schedule_9_E&amp;S_final_clean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Schedule_12_Tests_final_clean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Schedule_25_Waste_Delivery_Protocol_final_clean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Schedule_26_Interface_final_clean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 xml:space="preserve">Schedule_29_Waste </w:t>
      </w:r>
      <w:proofErr w:type="spellStart"/>
      <w:r w:rsidRPr="0020559A">
        <w:t>Policy_final_clean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proofErr w:type="spellStart"/>
      <w:r w:rsidRPr="0020559A">
        <w:t>PPP_Contract_Schedules_SER_final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proofErr w:type="spellStart"/>
      <w:r w:rsidRPr="0020559A">
        <w:t>PPP_Contract_SER_final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  2_Part_4_Performance_Monitoring_Framework_SER_final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  2_Part_5_Monitoring_KPI_SER_final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 xml:space="preserve">Schedule 4_Payment  </w:t>
      </w:r>
      <w:proofErr w:type="spellStart"/>
      <w:r w:rsidRPr="0020559A">
        <w:t>Mechanism_SER_final</w:t>
      </w:r>
      <w:proofErr w:type="spellEnd"/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Schedule_2_Output_Specifications_SER_final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Schedule_2_Part_6_Site_Condition_Monitoring_SER_final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Schedule_2_Part_7_Incoming_Waste_Parameters_SER_final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Schedule_7_Part_3_Site_plan_final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Schedule_9_Appendix_1_SER_final</w:t>
      </w:r>
    </w:p>
    <w:p w:rsidR="0020559A" w:rsidRDefault="0020559A" w:rsidP="006C273E">
      <w:pPr>
        <w:pStyle w:val="ListParagraph"/>
        <w:numPr>
          <w:ilvl w:val="0"/>
          <w:numId w:val="1"/>
        </w:numPr>
      </w:pPr>
      <w:r w:rsidRPr="0020559A">
        <w:t>Schedule_9_ES_SER_final</w:t>
      </w:r>
    </w:p>
    <w:p w:rsidR="0020559A" w:rsidRDefault="00DF0112" w:rsidP="006C273E">
      <w:pPr>
        <w:pStyle w:val="ListParagraph"/>
        <w:numPr>
          <w:ilvl w:val="0"/>
          <w:numId w:val="1"/>
        </w:numPr>
      </w:pPr>
      <w:r w:rsidRPr="00DF0112">
        <w:t>Schedule_12_Tests_SER_final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Schedule_25_Waste_Delivery_Protocol_SER_final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lastRenderedPageBreak/>
        <w:t>Schedule_26_Interface_SER_final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 xml:space="preserve">Schedule_29_Waste </w:t>
      </w:r>
      <w:proofErr w:type="spellStart"/>
      <w:r w:rsidRPr="00DF0112">
        <w:t>Policy_SER_final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 xml:space="preserve">Appendix </w:t>
      </w:r>
      <w:proofErr w:type="spellStart"/>
      <w:r w:rsidRPr="00DF0112">
        <w:t>D_Proposal</w:t>
      </w:r>
      <w:proofErr w:type="spellEnd"/>
      <w:r w:rsidRPr="00DF0112">
        <w:t xml:space="preserve"> </w:t>
      </w:r>
      <w:proofErr w:type="spellStart"/>
      <w:r w:rsidRPr="00DF0112">
        <w:t>Checklist_ENG_final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Appendix_A_Part1_Technical_Requirements__Forms_ENG_final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Appendix_A_Part2_Financial_Requirements_ENG_final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Appendix_C_Financial_Forms_Draft_ENG_final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Appendix_C_Legal_Forms_ENG_final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Appendix_H_SFTS_ENG_final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FinancialModel_spreasheet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Invitation_ENG_final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T_2_2_3_Site_plan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 xml:space="preserve">Tender </w:t>
      </w:r>
      <w:proofErr w:type="spellStart"/>
      <w:r w:rsidRPr="00DF0112">
        <w:t>Document_Contract</w:t>
      </w:r>
      <w:proofErr w:type="spellEnd"/>
      <w:r w:rsidRPr="00DF0112">
        <w:t xml:space="preserve"> Award </w:t>
      </w:r>
      <w:proofErr w:type="spellStart"/>
      <w:r w:rsidRPr="00DF0112">
        <w:t>Phase_ENG_final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 xml:space="preserve">Appendix </w:t>
      </w:r>
      <w:proofErr w:type="spellStart"/>
      <w:r w:rsidRPr="00DF0112">
        <w:t>D_Proposal</w:t>
      </w:r>
      <w:proofErr w:type="spellEnd"/>
      <w:r w:rsidRPr="00DF0112">
        <w:t xml:space="preserve"> </w:t>
      </w:r>
      <w:proofErr w:type="spellStart"/>
      <w:r w:rsidRPr="00DF0112">
        <w:t>Checklist_SER_final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Appendix_A_Part1_Technical_Requirements__Forms_SER_final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Appendix_A_Part2_Financial_Requirements_SER_final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Appendix_C_Financial_Forms_SER_final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Appendix_C_Legal_Forms_SER_final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Appendix_H_SFTS_SER_final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FinancialModel_spreasheet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proofErr w:type="spellStart"/>
      <w:r w:rsidRPr="00DF0112">
        <w:t>Invitation_SER_final</w:t>
      </w:r>
      <w:proofErr w:type="spellEnd"/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>T_2_2_3_Site_plan</w:t>
      </w:r>
    </w:p>
    <w:p w:rsidR="00DF0112" w:rsidRDefault="00DF0112" w:rsidP="006C273E">
      <w:pPr>
        <w:pStyle w:val="ListParagraph"/>
        <w:numPr>
          <w:ilvl w:val="0"/>
          <w:numId w:val="1"/>
        </w:numPr>
      </w:pPr>
      <w:r w:rsidRPr="00DF0112">
        <w:t xml:space="preserve">Tender </w:t>
      </w:r>
      <w:proofErr w:type="spellStart"/>
      <w:r w:rsidRPr="00DF0112">
        <w:t>Document_Contract</w:t>
      </w:r>
      <w:proofErr w:type="spellEnd"/>
      <w:r w:rsidRPr="00DF0112">
        <w:t xml:space="preserve"> Award </w:t>
      </w:r>
      <w:proofErr w:type="spellStart"/>
      <w:r w:rsidRPr="00DF0112">
        <w:t>Phase_SER_final</w:t>
      </w:r>
      <w:proofErr w:type="spellEnd"/>
    </w:p>
    <w:p w:rsidR="00DF0112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misljenje</w:t>
      </w:r>
      <w:proofErr w:type="spellEnd"/>
      <w:r w:rsidRPr="00555E8A">
        <w:t xml:space="preserve"> GP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Appendix_G_TechnicalPlan_SRB</w:t>
      </w:r>
      <w:proofErr w:type="spellEnd"/>
    </w:p>
    <w:p w:rsidR="00555E8A" w:rsidRDefault="00555E8A" w:rsidP="006C273E">
      <w:pPr>
        <w:pStyle w:val="ListParagraph"/>
        <w:numPr>
          <w:ilvl w:val="0"/>
          <w:numId w:val="1"/>
        </w:numPr>
      </w:pPr>
      <w:r w:rsidRPr="00555E8A">
        <w:t xml:space="preserve">Form_T_2_3_Base </w:t>
      </w:r>
      <w:proofErr w:type="spellStart"/>
      <w:r w:rsidRPr="00555E8A">
        <w:t>tabela</w:t>
      </w:r>
      <w:proofErr w:type="spellEnd"/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Izmena</w:t>
      </w:r>
      <w:proofErr w:type="spellEnd"/>
      <w:r w:rsidRPr="00555E8A">
        <w:t xml:space="preserve"> </w:t>
      </w:r>
      <w:proofErr w:type="spellStart"/>
      <w:r w:rsidRPr="00555E8A">
        <w:t>konkursne</w:t>
      </w:r>
      <w:proofErr w:type="spellEnd"/>
      <w:r w:rsidRPr="00555E8A">
        <w:t xml:space="preserve"> </w:t>
      </w:r>
      <w:proofErr w:type="spellStart"/>
      <w:r w:rsidRPr="00555E8A">
        <w:t>srpski</w:t>
      </w:r>
      <w:proofErr w:type="spellEnd"/>
      <w:r w:rsidRPr="00555E8A">
        <w:t xml:space="preserve">    13.6.17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Izmenjena</w:t>
      </w:r>
      <w:proofErr w:type="spellEnd"/>
      <w:r w:rsidRPr="00555E8A">
        <w:t xml:space="preserve"> </w:t>
      </w:r>
      <w:proofErr w:type="spellStart"/>
      <w:r w:rsidRPr="00555E8A">
        <w:t>strana</w:t>
      </w:r>
      <w:proofErr w:type="spellEnd"/>
      <w:r w:rsidRPr="00555E8A">
        <w:t xml:space="preserve"> 25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Izmenjena</w:t>
      </w:r>
      <w:proofErr w:type="spellEnd"/>
      <w:r w:rsidRPr="00555E8A">
        <w:t xml:space="preserve"> </w:t>
      </w:r>
      <w:proofErr w:type="spellStart"/>
      <w:r w:rsidRPr="00555E8A">
        <w:t>strana</w:t>
      </w:r>
      <w:proofErr w:type="spellEnd"/>
      <w:r w:rsidRPr="00555E8A">
        <w:t xml:space="preserve"> 28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Izmenjena</w:t>
      </w:r>
      <w:proofErr w:type="spellEnd"/>
      <w:r w:rsidRPr="00555E8A">
        <w:t xml:space="preserve"> </w:t>
      </w:r>
      <w:proofErr w:type="spellStart"/>
      <w:r w:rsidRPr="00555E8A">
        <w:t>strana</w:t>
      </w:r>
      <w:proofErr w:type="spellEnd"/>
      <w:r w:rsidRPr="00555E8A">
        <w:t xml:space="preserve"> 40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Izmenjena</w:t>
      </w:r>
      <w:proofErr w:type="spellEnd"/>
      <w:r w:rsidRPr="00555E8A">
        <w:t xml:space="preserve"> </w:t>
      </w:r>
      <w:proofErr w:type="spellStart"/>
      <w:r w:rsidRPr="00555E8A">
        <w:t>strana</w:t>
      </w:r>
      <w:proofErr w:type="spellEnd"/>
      <w:r w:rsidRPr="00555E8A">
        <w:t xml:space="preserve"> 41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Poziv</w:t>
      </w:r>
      <w:proofErr w:type="spellEnd"/>
      <w:r w:rsidRPr="00555E8A">
        <w:t xml:space="preserve"> </w:t>
      </w:r>
      <w:proofErr w:type="spellStart"/>
      <w:r w:rsidRPr="00555E8A">
        <w:t>za</w:t>
      </w:r>
      <w:proofErr w:type="spellEnd"/>
      <w:r w:rsidRPr="00555E8A">
        <w:t xml:space="preserve"> </w:t>
      </w:r>
      <w:proofErr w:type="spellStart"/>
      <w:r w:rsidRPr="00555E8A">
        <w:t>podnosenje</w:t>
      </w:r>
      <w:proofErr w:type="spellEnd"/>
      <w:r w:rsidRPr="00555E8A">
        <w:t xml:space="preserve"> </w:t>
      </w:r>
      <w:proofErr w:type="spellStart"/>
      <w:r w:rsidRPr="00555E8A">
        <w:t>konacnih</w:t>
      </w:r>
      <w:proofErr w:type="spellEnd"/>
      <w:r w:rsidRPr="00555E8A">
        <w:t xml:space="preserve"> </w:t>
      </w:r>
      <w:proofErr w:type="spellStart"/>
      <w:r w:rsidRPr="00555E8A">
        <w:t>ponuda</w:t>
      </w:r>
      <w:proofErr w:type="spellEnd"/>
      <w:r w:rsidRPr="00555E8A">
        <w:t xml:space="preserve">    - </w:t>
      </w:r>
      <w:proofErr w:type="spellStart"/>
      <w:r w:rsidRPr="00555E8A">
        <w:t>Produzenje</w:t>
      </w:r>
      <w:proofErr w:type="spellEnd"/>
      <w:r w:rsidRPr="00555E8A">
        <w:t xml:space="preserve"> </w:t>
      </w:r>
      <w:proofErr w:type="spellStart"/>
      <w:r w:rsidRPr="00555E8A">
        <w:t>roka</w:t>
      </w:r>
      <w:proofErr w:type="spellEnd"/>
    </w:p>
    <w:p w:rsidR="00555E8A" w:rsidRDefault="00555E8A" w:rsidP="006C273E">
      <w:pPr>
        <w:pStyle w:val="ListParagraph"/>
        <w:numPr>
          <w:ilvl w:val="0"/>
          <w:numId w:val="1"/>
        </w:numPr>
      </w:pPr>
      <w:r w:rsidRPr="00555E8A">
        <w:t>Revised Form Q.1_Tender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INvitation</w:t>
      </w:r>
      <w:proofErr w:type="spellEnd"/>
      <w:r w:rsidRPr="00555E8A">
        <w:t xml:space="preserve"> for final offers extension of deadline</w:t>
      </w:r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Poziv</w:t>
      </w:r>
      <w:proofErr w:type="spellEnd"/>
      <w:r w:rsidRPr="00555E8A">
        <w:t xml:space="preserve"> </w:t>
      </w:r>
      <w:proofErr w:type="spellStart"/>
      <w:r w:rsidRPr="00555E8A">
        <w:t>za</w:t>
      </w:r>
      <w:proofErr w:type="spellEnd"/>
      <w:r w:rsidRPr="00555E8A">
        <w:t xml:space="preserve"> </w:t>
      </w:r>
      <w:proofErr w:type="spellStart"/>
      <w:r w:rsidRPr="00555E8A">
        <w:t>podnosenje</w:t>
      </w:r>
      <w:proofErr w:type="spellEnd"/>
      <w:r w:rsidRPr="00555E8A">
        <w:t xml:space="preserve"> </w:t>
      </w:r>
      <w:proofErr w:type="spellStart"/>
      <w:r w:rsidRPr="00555E8A">
        <w:t>konacnih</w:t>
      </w:r>
      <w:proofErr w:type="spellEnd"/>
      <w:r w:rsidRPr="00555E8A">
        <w:t xml:space="preserve"> </w:t>
      </w:r>
      <w:proofErr w:type="spellStart"/>
      <w:r w:rsidRPr="00555E8A">
        <w:t>ponuda</w:t>
      </w:r>
      <w:proofErr w:type="spellEnd"/>
      <w:r w:rsidRPr="00555E8A">
        <w:t xml:space="preserve"> - </w:t>
      </w:r>
      <w:proofErr w:type="spellStart"/>
      <w:r w:rsidRPr="00555E8A">
        <w:t>Produzenje</w:t>
      </w:r>
      <w:proofErr w:type="spellEnd"/>
      <w:r w:rsidRPr="00555E8A">
        <w:t xml:space="preserve"> </w:t>
      </w:r>
      <w:proofErr w:type="spellStart"/>
      <w:r w:rsidRPr="00555E8A">
        <w:t>roka</w:t>
      </w:r>
      <w:proofErr w:type="spellEnd"/>
    </w:p>
    <w:p w:rsidR="00555E8A" w:rsidRDefault="00555E8A" w:rsidP="006C273E">
      <w:pPr>
        <w:pStyle w:val="ListParagraph"/>
        <w:numPr>
          <w:ilvl w:val="0"/>
          <w:numId w:val="1"/>
        </w:numPr>
      </w:pPr>
      <w:proofErr w:type="spellStart"/>
      <w:r w:rsidRPr="00555E8A">
        <w:t>писарница</w:t>
      </w:r>
      <w:proofErr w:type="spellEnd"/>
      <w:r w:rsidRPr="00555E8A">
        <w:t xml:space="preserve"> ЈПП</w:t>
      </w:r>
    </w:p>
    <w:p w:rsidR="00555E8A" w:rsidRDefault="00555E8A" w:rsidP="00555E8A">
      <w:pPr>
        <w:pStyle w:val="ListParagraph"/>
      </w:pPr>
    </w:p>
    <w:sectPr w:rsidR="00555E8A" w:rsidSect="00D54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704"/>
    <w:multiLevelType w:val="hybridMultilevel"/>
    <w:tmpl w:val="C64E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7AA"/>
    <w:rsid w:val="0020559A"/>
    <w:rsid w:val="002315EA"/>
    <w:rsid w:val="002E5A7B"/>
    <w:rsid w:val="00555E8A"/>
    <w:rsid w:val="005A17AA"/>
    <w:rsid w:val="006C273E"/>
    <w:rsid w:val="00767D87"/>
    <w:rsid w:val="0083179A"/>
    <w:rsid w:val="008F5E68"/>
    <w:rsid w:val="00975C4D"/>
    <w:rsid w:val="00CD25CB"/>
    <w:rsid w:val="00CE77E5"/>
    <w:rsid w:val="00D54C10"/>
    <w:rsid w:val="00D77A53"/>
    <w:rsid w:val="00DF0112"/>
    <w:rsid w:val="00ED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TSwork</dc:creator>
  <cp:lastModifiedBy>TSwork</cp:lastModifiedBy>
  <cp:revision>4</cp:revision>
  <dcterms:created xsi:type="dcterms:W3CDTF">2017-08-15T08:47:00Z</dcterms:created>
  <dcterms:modified xsi:type="dcterms:W3CDTF">2017-08-15T09:50:00Z</dcterms:modified>
</cp:coreProperties>
</file>