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77" w:rsidRPr="00CA397F" w:rsidRDefault="00325707" w:rsidP="00D86777">
      <w:pPr>
        <w:spacing w:line="360" w:lineRule="auto"/>
        <w:jc w:val="center"/>
        <w:rPr>
          <w:b/>
          <w:sz w:val="24"/>
          <w:szCs w:val="24"/>
        </w:rPr>
      </w:pPr>
      <w:r>
        <w:rPr>
          <w:b/>
          <w:sz w:val="24"/>
          <w:szCs w:val="24"/>
        </w:rPr>
        <w:t>Ispunjene GRECO preporuke, problemi ostali</w:t>
      </w:r>
    </w:p>
    <w:p w:rsidR="00D86777" w:rsidRPr="00CA397F" w:rsidRDefault="00D86777" w:rsidP="00D86777">
      <w:pPr>
        <w:spacing w:line="360" w:lineRule="auto"/>
        <w:rPr>
          <w:sz w:val="24"/>
          <w:szCs w:val="24"/>
        </w:rPr>
      </w:pPr>
      <w:r w:rsidRPr="00CA397F">
        <w:rPr>
          <w:sz w:val="24"/>
          <w:szCs w:val="24"/>
        </w:rPr>
        <w:t> </w:t>
      </w:r>
    </w:p>
    <w:p w:rsidR="00D86777" w:rsidRPr="00CA397F" w:rsidRDefault="00CA397F" w:rsidP="00D86777">
      <w:pPr>
        <w:spacing w:line="360" w:lineRule="auto"/>
        <w:rPr>
          <w:sz w:val="24"/>
          <w:szCs w:val="24"/>
        </w:rPr>
      </w:pPr>
      <w:r>
        <w:rPr>
          <w:sz w:val="24"/>
          <w:szCs w:val="24"/>
        </w:rPr>
        <w:t xml:space="preserve">Transparentnost –Srbija </w:t>
      </w:r>
      <w:r w:rsidR="00D86777" w:rsidRPr="00CA397F">
        <w:rPr>
          <w:sz w:val="24"/>
          <w:szCs w:val="24"/>
        </w:rPr>
        <w:t xml:space="preserve">ukazuje da </w:t>
      </w:r>
      <w:r>
        <w:rPr>
          <w:sz w:val="24"/>
          <w:szCs w:val="24"/>
        </w:rPr>
        <w:t>i nakon ispunjenja</w:t>
      </w:r>
      <w:r w:rsidR="00D86777" w:rsidRPr="00CA397F">
        <w:rPr>
          <w:sz w:val="24"/>
          <w:szCs w:val="24"/>
        </w:rPr>
        <w:t xml:space="preserve"> GRECO preporuka iz 2010</w:t>
      </w:r>
      <w:r>
        <w:rPr>
          <w:sz w:val="24"/>
          <w:szCs w:val="24"/>
        </w:rPr>
        <w:t>.</w:t>
      </w:r>
      <w:r w:rsidR="00D86777" w:rsidRPr="00CA397F">
        <w:rPr>
          <w:sz w:val="24"/>
          <w:szCs w:val="24"/>
        </w:rPr>
        <w:t xml:space="preserve"> </w:t>
      </w:r>
      <w:r>
        <w:rPr>
          <w:sz w:val="24"/>
          <w:szCs w:val="24"/>
        </w:rPr>
        <w:t>postoji potreba da se bitno unaprede Zakon o finansiranju političkih aktivnosti i Krivični zakonik</w:t>
      </w:r>
      <w:r w:rsidR="00D86777" w:rsidRPr="00CA397F">
        <w:rPr>
          <w:sz w:val="24"/>
          <w:szCs w:val="24"/>
        </w:rPr>
        <w:t xml:space="preserve">. </w:t>
      </w:r>
    </w:p>
    <w:p w:rsidR="00D86777" w:rsidRPr="00CA397F" w:rsidRDefault="00D86777" w:rsidP="00D86777">
      <w:pPr>
        <w:spacing w:line="360" w:lineRule="auto"/>
        <w:rPr>
          <w:sz w:val="24"/>
          <w:szCs w:val="24"/>
        </w:rPr>
      </w:pPr>
    </w:p>
    <w:p w:rsidR="00D86777" w:rsidRPr="00CA397F" w:rsidRDefault="00D86777" w:rsidP="00D86777">
      <w:pPr>
        <w:spacing w:line="360" w:lineRule="auto"/>
        <w:rPr>
          <w:sz w:val="24"/>
          <w:szCs w:val="24"/>
        </w:rPr>
      </w:pPr>
      <w:r w:rsidRPr="00CA397F">
        <w:rPr>
          <w:sz w:val="24"/>
          <w:szCs w:val="24"/>
        </w:rPr>
        <w:t>GRECO (mehanizam Saveta Evrope) objavio je, posle plenarne skupštine, da je Srbija uspešno ispunila zadatke iz trećeg kruga evaluacije</w:t>
      </w:r>
      <w:r w:rsidR="00CA397F">
        <w:rPr>
          <w:sz w:val="24"/>
          <w:szCs w:val="24"/>
        </w:rPr>
        <w:t xml:space="preserve">, ali da je potrebno pratiti sprovođenje tih propisa. </w:t>
      </w:r>
      <w:hyperlink r:id="rId8" w:history="1">
        <w:r w:rsidRPr="00CA397F">
          <w:rPr>
            <w:color w:val="0000FF"/>
            <w:sz w:val="24"/>
            <w:szCs w:val="24"/>
            <w:u w:val="single"/>
          </w:rPr>
          <w:t>http://www.coe.int/t/dghl/monitoring/greco/evaluations/round3/GrecoRC3%282014%2915_Second_Serbia_EN.pdf</w:t>
        </w:r>
      </w:hyperlink>
      <w:r w:rsidRPr="00CA397F">
        <w:rPr>
          <w:sz w:val="24"/>
          <w:szCs w:val="24"/>
        </w:rPr>
        <w:t>  </w:t>
      </w:r>
    </w:p>
    <w:p w:rsidR="00D86777" w:rsidRPr="00CA397F" w:rsidRDefault="00D86777" w:rsidP="00F81183">
      <w:pPr>
        <w:spacing w:before="100" w:beforeAutospacing="1" w:after="100" w:afterAutospacing="1" w:line="360" w:lineRule="auto"/>
        <w:rPr>
          <w:sz w:val="24"/>
          <w:szCs w:val="24"/>
        </w:rPr>
      </w:pPr>
      <w:r w:rsidRPr="00CA397F">
        <w:rPr>
          <w:sz w:val="24"/>
          <w:szCs w:val="24"/>
        </w:rPr>
        <w:t xml:space="preserve">Tako je zaokružena priča koja je započela još u oktobru 2010. objavljivanjem preporuka za preciziranje Krivičnog zakonika i Zakona o finansiranju političkih stranaka.  </w:t>
      </w:r>
      <w:hyperlink r:id="rId9" w:history="1">
        <w:r w:rsidRPr="00CA397F">
          <w:rPr>
            <w:color w:val="0000FF"/>
            <w:sz w:val="24"/>
            <w:szCs w:val="24"/>
            <w:u w:val="single"/>
          </w:rPr>
          <w:t>http://www.coe.int/t/dghl/monitoring/greco/evaluations/round3/GrecoEval3%282010%293_Serbia_Two_EN.pdf</w:t>
        </w:r>
      </w:hyperlink>
      <w:r w:rsidRPr="00CA397F">
        <w:rPr>
          <w:sz w:val="24"/>
          <w:szCs w:val="24"/>
        </w:rPr>
        <w:t> </w:t>
      </w:r>
      <w:r w:rsidR="009A4131" w:rsidRPr="009A4131">
        <w:rPr>
          <w:sz w:val="24"/>
          <w:szCs w:val="24"/>
        </w:rPr>
        <w:t>U svakom slučaju, Vlade Srbije, od 2010. do danas, bolje su postupile po preporukama iz trećeg kruga evaluacije, nego što je bio slučaj sa preporukama iz prvog i drugog kruga. naime, u periodu od 2006. do 2010. godine neke preporuke su ostale tek "delimično realizovane" (između ostalog, u pogledu zaštite uzbunjivača). </w:t>
      </w:r>
      <w:r w:rsidRPr="00CA397F">
        <w:rPr>
          <w:sz w:val="24"/>
          <w:szCs w:val="24"/>
        </w:rPr>
        <w:t> </w:t>
      </w:r>
    </w:p>
    <w:p w:rsidR="00D86777" w:rsidRPr="00CA397F" w:rsidRDefault="00D86777" w:rsidP="00F81183">
      <w:pPr>
        <w:spacing w:before="100" w:beforeAutospacing="1" w:after="100" w:afterAutospacing="1" w:line="360" w:lineRule="auto"/>
        <w:rPr>
          <w:sz w:val="24"/>
          <w:szCs w:val="24"/>
        </w:rPr>
      </w:pPr>
      <w:r w:rsidRPr="00CA397F">
        <w:rPr>
          <w:sz w:val="24"/>
          <w:szCs w:val="24"/>
        </w:rPr>
        <w:t>Preporuke za Krivični zakonik, koje su ostvarene, odnose se na to</w:t>
      </w:r>
      <w:r w:rsidR="0072082E">
        <w:rPr>
          <w:sz w:val="24"/>
          <w:szCs w:val="24"/>
        </w:rPr>
        <w:t>:</w:t>
      </w:r>
      <w:r w:rsidRPr="00CA397F">
        <w:rPr>
          <w:sz w:val="24"/>
          <w:szCs w:val="24"/>
        </w:rPr>
        <w:t xml:space="preserve"> da se kažnjava i podmićivanje u vezi sa radnjama koje nisu u okviru službenog ovlašćenja, da se kažnjava podmićivanje stranih arbitara i sudija, da se izmene odredbe o korupciji u privatnom sektoru, o kažnjivosti podmićivanja u inostranstvu i da se ukine mogućnost vraćanja datog mita licu koje prijavi slučaj pre nego što se za njega sazna. Ostaje da se vidi u kojoj meri ove izmene utiču ili će uticati na gonjenje korupcije. Za sada je jedino izvesno da je "izbacivanje" zloupotreba u privatnom sektoru iz čl. 359. Krivičnog zakonika (zloupotreba službenog položaja) omogućilo da se jasnije sagleda koliko je stvarno prijavljeno i istraženo slučajeva u ovom najšire postavljenom krivičnom delu. </w:t>
      </w:r>
      <w:r w:rsidR="0072082E">
        <w:rPr>
          <w:sz w:val="24"/>
          <w:szCs w:val="24"/>
        </w:rPr>
        <w:t xml:space="preserve">Transparentnost Srbija smatra da </w:t>
      </w:r>
      <w:r w:rsidR="009A4131" w:rsidRPr="009A4131">
        <w:rPr>
          <w:sz w:val="24"/>
          <w:szCs w:val="24"/>
        </w:rPr>
        <w:t xml:space="preserve">ispunjenje </w:t>
      </w:r>
      <w:r w:rsidR="009A4131" w:rsidRPr="009A4131">
        <w:rPr>
          <w:sz w:val="24"/>
          <w:szCs w:val="24"/>
        </w:rPr>
        <w:lastRenderedPageBreak/>
        <w:t>preporuke da se ukine mogućnost vraćanja datog mita licu koje prijavi slučaj može imati čak i štetne posledice, jer su smanjeni i onako nedovoljni stimulansi za prijavljivanje korupcije od strane učesnika u nezakonitim radnjama.</w:t>
      </w:r>
      <w:r w:rsidR="003037B4">
        <w:t> </w:t>
      </w:r>
      <w:r w:rsidRPr="00CA397F">
        <w:rPr>
          <w:sz w:val="24"/>
          <w:szCs w:val="24"/>
        </w:rPr>
        <w:t> U situacijama kada za korupciju znaju samo učesnici u tom nezakonitom poslu, prioritet bi trebalo da bude da se za što veći broj slučajeva sazna, uključujući i mere za obavezno oslobađanje od odgovornosti (umesto sadašnjeg fakultativnog oslobođenja od kazne).  </w:t>
      </w:r>
    </w:p>
    <w:p w:rsidR="00F81183" w:rsidRDefault="00D86777" w:rsidP="00F81183">
      <w:pPr>
        <w:spacing w:line="360" w:lineRule="auto"/>
        <w:rPr>
          <w:sz w:val="24"/>
          <w:szCs w:val="24"/>
          <w:lang w:val="fr-FR"/>
        </w:rPr>
      </w:pPr>
      <w:r w:rsidRPr="00D972EE">
        <w:rPr>
          <w:sz w:val="24"/>
          <w:szCs w:val="24"/>
          <w:lang w:val="fr-FR"/>
        </w:rPr>
        <w:t xml:space="preserve">Situacija sa preporukama za finansiranje partija je neobična. Naime, još u doba kada je izveštaj objavljen (2010), Ministarstvo pravde i Agencija za borbu protiv korupcije pripremali su novi Zakon o finansiranju političkih aktivnosti, tako da su iskoristili priliku da se sve one manjkavosti starog Zakona (iz 2003) na koje je GRECO ukazao, isprave. Međutim, brojni problemi su ostali. Prvo, zbog toga, što se misija GRECO ograničila na razmatranje samo nekih aspekata finansiranja partija, pa su pojedina pitanja ostala nepokrivena. Drugo, zbog toga što je primena novog Zakona, u poslednje tri godine, pokazala brojne nedostatke </w:t>
      </w:r>
      <w:r w:rsidR="0072082E">
        <w:rPr>
          <w:sz w:val="24"/>
          <w:szCs w:val="24"/>
          <w:lang w:val="fr-FR"/>
        </w:rPr>
        <w:t xml:space="preserve">novousvojenih </w:t>
      </w:r>
      <w:r w:rsidRPr="00D972EE">
        <w:rPr>
          <w:sz w:val="24"/>
          <w:szCs w:val="24"/>
          <w:lang w:val="fr-FR"/>
        </w:rPr>
        <w:t>zakonskih rešenja. Kao što smo već ukazali, ni najnoviji nacrt izmena i dopuna zakona ne dotiče neke od ključnih nedostataka</w:t>
      </w:r>
      <w:r w:rsidR="00F81183">
        <w:rPr>
          <w:sz w:val="24"/>
          <w:szCs w:val="24"/>
          <w:lang w:val="fr-FR"/>
        </w:rPr>
        <w:t xml:space="preserve"> </w:t>
      </w:r>
      <w:hyperlink r:id="rId10" w:history="1">
        <w:r w:rsidR="00F81183" w:rsidRPr="00F81183">
          <w:rPr>
            <w:rStyle w:val="Hyperlink"/>
            <w:lang w:val="fr-FR"/>
          </w:rPr>
          <w:t>http://www.transparentnost.org.rs/index.php?option=com_content&amp;view=article&amp;id=801%3Akorisne-izmene-ali-najbitniji-problemi-zakona-ostaju-netaknuti&amp;catid=34%3Afacebook-naslovi&amp;Itemid=27&amp;lang=sr</w:t>
        </w:r>
      </w:hyperlink>
      <w:r w:rsidRPr="00D972EE">
        <w:rPr>
          <w:i/>
          <w:iCs/>
          <w:sz w:val="24"/>
          <w:szCs w:val="24"/>
          <w:lang w:val="fr-FR"/>
        </w:rPr>
        <w:t xml:space="preserve">. </w:t>
      </w:r>
      <w:r w:rsidRPr="00D972EE">
        <w:rPr>
          <w:sz w:val="24"/>
          <w:szCs w:val="24"/>
          <w:lang w:val="fr-FR"/>
        </w:rPr>
        <w:t>Zbog toga, objavljivanje pozitivne ocene GRECO o r</w:t>
      </w:r>
      <w:bookmarkStart w:id="0" w:name="_GoBack"/>
      <w:bookmarkEnd w:id="0"/>
      <w:r w:rsidRPr="00D972EE">
        <w:rPr>
          <w:sz w:val="24"/>
          <w:szCs w:val="24"/>
          <w:lang w:val="fr-FR"/>
        </w:rPr>
        <w:t xml:space="preserve">eformama u oblasti finansiranja partija, koje su sprovedene još pre tri godine, ni u kojem slučaju ne bi trebalo tumačiti kao znak da je "sve u redu" u ovoj oblasti. Naprotiv, osim problema na koje je ukazala Transparentnost </w:t>
      </w:r>
      <w:r w:rsidR="0072082E">
        <w:rPr>
          <w:sz w:val="24"/>
          <w:szCs w:val="24"/>
          <w:lang w:val="fr-FR"/>
        </w:rPr>
        <w:t>–</w:t>
      </w:r>
      <w:r w:rsidRPr="00D972EE">
        <w:rPr>
          <w:sz w:val="24"/>
          <w:szCs w:val="24"/>
          <w:lang w:val="fr-FR"/>
        </w:rPr>
        <w:t xml:space="preserve"> Srbija</w:t>
      </w:r>
      <w:r w:rsidR="0072082E">
        <w:rPr>
          <w:sz w:val="24"/>
          <w:szCs w:val="24"/>
          <w:lang w:val="fr-FR"/>
        </w:rPr>
        <w:t xml:space="preserve"> u više navrata</w:t>
      </w:r>
      <w:r w:rsidRPr="00D972EE">
        <w:rPr>
          <w:sz w:val="24"/>
          <w:szCs w:val="24"/>
          <w:lang w:val="fr-FR"/>
        </w:rPr>
        <w:t>, to je učinjeno pre samo nekoliko dana i od međunarodnih aktera. Pre samo nedelju dana je objavljen izveštaj Evropske komisije o napretku, u kojem se konstatuje nužnost izmena tih propisa pre sledećih izbora (između ostalog, uz pozivanje na nalaze druge međunarodne organizacije - ODIHR).  </w:t>
      </w:r>
    </w:p>
    <w:p w:rsidR="00F81183" w:rsidRDefault="00F81183" w:rsidP="00F81183">
      <w:pPr>
        <w:spacing w:line="360" w:lineRule="auto"/>
        <w:rPr>
          <w:sz w:val="24"/>
          <w:szCs w:val="24"/>
          <w:lang w:val="fr-FR"/>
        </w:rPr>
      </w:pPr>
    </w:p>
    <w:p w:rsidR="00BC757A" w:rsidRDefault="00BC757A" w:rsidP="00F81183">
      <w:pPr>
        <w:spacing w:line="360" w:lineRule="auto"/>
        <w:rPr>
          <w:sz w:val="24"/>
          <w:szCs w:val="24"/>
        </w:rPr>
      </w:pPr>
      <w:r w:rsidRPr="00CA397F">
        <w:rPr>
          <w:sz w:val="24"/>
          <w:szCs w:val="24"/>
        </w:rPr>
        <w:t xml:space="preserve">Transparentnost – Srbija </w:t>
      </w:r>
    </w:p>
    <w:p w:rsidR="00BC757A" w:rsidRPr="00CA397F" w:rsidRDefault="00F81183" w:rsidP="00F81183">
      <w:pPr>
        <w:spacing w:line="360" w:lineRule="auto"/>
        <w:rPr>
          <w:sz w:val="24"/>
          <w:szCs w:val="24"/>
        </w:rPr>
      </w:pPr>
      <w:r>
        <w:rPr>
          <w:sz w:val="24"/>
          <w:szCs w:val="24"/>
        </w:rPr>
        <w:t>Beograd 17. 10. 2014.</w:t>
      </w:r>
    </w:p>
    <w:sectPr w:rsidR="00BC757A" w:rsidRPr="00CA397F" w:rsidSect="00686DFD">
      <w:headerReference w:type="default" r:id="rId11"/>
      <w:footerReference w:type="default" r:id="rId12"/>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8DD" w:rsidRDefault="00BD68DD">
      <w:r>
        <w:separator/>
      </w:r>
    </w:p>
  </w:endnote>
  <w:endnote w:type="continuationSeparator" w:id="1">
    <w:p w:rsidR="00BD68DD" w:rsidRDefault="00BD6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4923A7" w:rsidP="005A4E20">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005A4E20" w:rsidRPr="005A4E20">
      <w:rPr>
        <w:rFonts w:ascii="Tahoma" w:hAnsi="Tahoma" w:cs="Tahoma"/>
        <w:sz w:val="16"/>
        <w:szCs w:val="16"/>
        <w:lang w:val="sl-SI"/>
      </w:rPr>
      <w:t xml:space="preserve"> </w:t>
    </w:r>
    <w:r>
      <w:rPr>
        <w:rFonts w:ascii="Tahoma" w:hAnsi="Tahoma" w:cs="Tahoma"/>
        <w:sz w:val="16"/>
        <w:szCs w:val="16"/>
        <w:lang w:val="sl-SI"/>
      </w:rPr>
      <w:t>je ovlašćeni zastupnik</w:t>
    </w:r>
    <w:r w:rsidR="00D6180E">
      <w:rPr>
        <w:rFonts w:ascii="Tahoma" w:hAnsi="Tahoma" w:cs="Tahoma"/>
        <w:sz w:val="16"/>
        <w:szCs w:val="16"/>
        <w:lang w:val="sl-SI"/>
      </w:rPr>
      <w:t xml:space="preserve"> organizacije</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sidR="00D6180E">
      <w:rPr>
        <w:rFonts w:ascii="Tahoma" w:hAnsi="Tahoma" w:cs="Tahoma"/>
        <w:sz w:val="16"/>
        <w:szCs w:val="16"/>
        <w:lang w:val="sl-SI"/>
      </w:rPr>
      <w:t>u Republici Srbiji</w:t>
    </w:r>
  </w:p>
  <w:p w:rsidR="005A4E20" w:rsidRDefault="005277E1" w:rsidP="00B768EB">
    <w:pPr>
      <w:pStyle w:val="Footer"/>
      <w:tabs>
        <w:tab w:val="left" w:pos="2130"/>
      </w:tabs>
      <w:jc w:val="center"/>
      <w:rPr>
        <w:rFonts w:ascii="Tahoma" w:hAnsi="Tahoma" w:cs="Tahoma"/>
        <w:sz w:val="18"/>
        <w:szCs w:val="18"/>
        <w:lang w:val="sr-Latn-CS"/>
      </w:rPr>
    </w:pPr>
    <w:hyperlink r:id="rId1" w:history="1">
      <w:r w:rsidR="00894B45" w:rsidRPr="00A5636A">
        <w:rPr>
          <w:rStyle w:val="Hyperlink"/>
          <w:rFonts w:ascii="Tahoma" w:hAnsi="Tahoma" w:cs="Tahoma"/>
          <w:sz w:val="18"/>
          <w:szCs w:val="18"/>
          <w:lang w:val="sr-Latn-CS"/>
        </w:rPr>
        <w:t>www.transparentnost.org.rs</w:t>
      </w:r>
    </w:hyperlink>
  </w:p>
  <w:p w:rsidR="00894B45" w:rsidRPr="005A4E20" w:rsidRDefault="00894B45"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8DD" w:rsidRDefault="00BD68DD">
      <w:r>
        <w:separator/>
      </w:r>
    </w:p>
  </w:footnote>
  <w:footnote w:type="continuationSeparator" w:id="1">
    <w:p w:rsidR="00BD68DD" w:rsidRDefault="00BD6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5277E1" w:rsidP="005A4E20">
    <w:pPr>
      <w:pStyle w:val="Header"/>
      <w:ind w:left="1440"/>
      <w:rPr>
        <w:rFonts w:ascii="Arial" w:hAnsi="Arial" w:cs="Arial"/>
        <w:b/>
        <w:iCs/>
        <w:caps/>
        <w:lang w:val="sr-Latn-CS"/>
      </w:rPr>
    </w:pPr>
    <w:r w:rsidRPr="005277E1">
      <w:rPr>
        <w:rFonts w:ascii="Arial" w:hAnsi="Arial" w:cs="Arial"/>
        <w:b/>
        <w:i/>
        <w:caps/>
        <w:noProof/>
        <w:sz w:val="28"/>
        <w:szCs w:val="28"/>
      </w:rPr>
      <w:pict>
        <v:shapetype id="_x0000_t202" coordsize="21600,21600" o:spt="202" path="m,l,21600r21600,l21600,xe">
          <v:stroke joinstyle="miter"/>
          <v:path gradientshapeok="t" o:connecttype="rect"/>
        </v:shapetype>
        <v:shape id="Text Box 4" o:spid="_x0000_s4097" type="#_x0000_t202" style="position:absolute;left:0;text-align:left;margin-left:207pt;margin-top:.6pt;width:225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LfeAIAAAwFAAAOAAAAZHJzL2Uyb0RvYy54bWysVN1u2yAUvp+0d0Dcp7Yzp02tOlUXJ9Ok&#10;/UntHoAAjtEwxwMSu5v27jvgJE23m2qaL/CBc/jO33e4uR1aTfbSOgWmpNlFSok0HIQy25J+fVhP&#10;5pQ4z4xgGows6aN09Hbx+tVN3xVyCg1oIS1BEOOKvitp431XJInjjWyZu4BOGlTWYFvmcWu3ibCs&#10;R/RWJ9M0vUx6sKKzwKVzeFqNSrqI+HUtuf9c1056okuKsfm42rhuwposblixtaxrFD+Ewf4hipYp&#10;g05PUBXzjOys+guqVdyCg9pfcGgTqGvFZcwBs8nSP7K5b1gnYy5YHNedyuT+Hyz/tP9iiRLYO0oM&#10;a7FFD3Lw5C0MJA/V6TtXoNF9h2Z+wONgGTJ13Qfg3xwxsGyY2co7a6FvJBMYXRZuJmdXRxwXQDb9&#10;RxDohu08RKChtm0AxGIQRMcuPZ46E0LheDidz65mKao46q6zPEc5uGDF8XZnnX8noSVBKKnFzkd0&#10;tv/g/Gh6NAnODKyV1njOCm1IHxzGpEArETRxY7ebpbZkz5A86/gdnLpzs1Z5pLBWbUnnafiCEStC&#10;KVZGRNkzpUcZI9YmqDEzDOwgjVT5eZ1er+areT7Jp5erSZ5W1eRuvcwnl+vsala9qZbLKvsV4szy&#10;olFCSBNCPdI2y19Gi8MAjYQ7EfdZSu4lmSfPw4jdwKyO/5hd5EBo+0gAP2wGLEggxgbEI7LBwjiS&#10;+ISg0ID9QUmP41hS933HrKREvzfIqNhznN+4yWdXU+SCPddszjXMcIQqqadkFJd+nPldZ9W2QU8j&#10;hw3cIQtrFQnyFNWBuzhyMZnD8xBm+nwfrZ4escVvAAAA//8DAFBLAwQUAAYACAAAACEAP6qWadwA&#10;AAAJAQAADwAAAGRycy9kb3ducmV2LnhtbEyPwU7DMBBE70j8g7VI3KiTNJQS4lSABBJwoiBxdeMl&#10;iYjXke20hq9ne4Lj06xm39SbZEexRx8GRwryRQYCqXVmoE7B+9vDxRpEiJqMHh2hgm8MsGlOT2pd&#10;GXegV9xvYye4hEKlFfQxTpWUoe3R6rBwExJnn85bHRl9J43XBy63oyyybCWtHog/9HrC+x7br+1s&#10;Fdj55+W6SP6pyx8/nnG5vBuvpqTU+Vm6vQERMcW/Yzjqszo07LRzM5kgRgVlXvKWyEEBgvP16sg7&#10;5vKyANnU8v+C5hcAAP//AwBQSwECLQAUAAYACAAAACEAtoM4kv4AAADhAQAAEwAAAAAAAAAAAAAA&#10;AAAAAAAAW0NvbnRlbnRfVHlwZXNdLnhtbFBLAQItABQABgAIAAAAIQA4/SH/1gAAAJQBAAALAAAA&#10;AAAAAAAAAAAAAC8BAABfcmVscy8ucmVsc1BLAQItABQABgAIAAAAIQCWPHLfeAIAAAwFAAAOAAAA&#10;AAAAAAAAAAAAAC4CAABkcnMvZTJvRG9jLnhtbFBLAQItABQABgAIAAAAIQA/qpZp3AAAAAkBAAAP&#10;AAAAAAAAAAAAAAAAANIEAABkcnMvZG93bnJldi54bWxQSwUGAAAAAAQABADzAAAA2wUAAAAA&#10;" filled="f" strokecolor="white" strokeweight="0">
          <v:textbox>
            <w:txbxContent>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sidR="00894B45">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DF1F83">
                  <w:rPr>
                    <w:rFonts w:ascii="Tahoma" w:hAnsi="Tahoma" w:cs="Tahoma"/>
                    <w:sz w:val="16"/>
                    <w:szCs w:val="16"/>
                    <w:lang w:val="sr-Latn-CS"/>
                  </w:rPr>
                  <w:t>o</w:t>
                </w:r>
                <w:r w:rsidR="005A4E20"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w:t>
                </w:r>
                <w:r>
                  <w:rPr>
                    <w:rFonts w:ascii="Tahoma" w:hAnsi="Tahoma" w:cs="Tahoma"/>
                    <w:sz w:val="16"/>
                    <w:szCs w:val="16"/>
                    <w:lang w:val="sr-Latn-CS"/>
                  </w:rPr>
                  <w:t xml:space="preserve"> </w:t>
                </w:r>
                <w:r w:rsidR="00894B45">
                  <w:rPr>
                    <w:rFonts w:ascii="Tahoma" w:hAnsi="Tahoma" w:cs="Tahoma"/>
                    <w:sz w:val="16"/>
                    <w:szCs w:val="16"/>
                    <w:lang w:val="sr-Latn-CS"/>
                  </w:rPr>
                  <w:t>78</w:t>
                </w:r>
                <w:r>
                  <w:rPr>
                    <w:rFonts w:ascii="Tahoma" w:hAnsi="Tahoma" w:cs="Tahoma"/>
                    <w:sz w:val="16"/>
                    <w:szCs w:val="16"/>
                    <w:lang w:val="sr-Latn-CS"/>
                  </w:rPr>
                  <w:t xml:space="preserve"> </w:t>
                </w:r>
                <w:r w:rsidR="00894B45">
                  <w:rPr>
                    <w:rFonts w:ascii="Tahoma" w:hAnsi="Tahoma" w:cs="Tahoma"/>
                    <w:sz w:val="16"/>
                    <w:szCs w:val="16"/>
                    <w:lang w:val="sr-Latn-CS"/>
                  </w:rPr>
                  <w:t>05</w:t>
                </w:r>
              </w:p>
              <w:p w:rsidR="005A4E20" w:rsidRPr="005A4E20" w:rsidRDefault="00C5579D"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D86777">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stylePaneFormatFilter w:val="3F01"/>
  <w:defaultTabStop w:val="720"/>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5A4E20"/>
    <w:rsid w:val="00021344"/>
    <w:rsid w:val="000459BF"/>
    <w:rsid w:val="0005126A"/>
    <w:rsid w:val="000705E7"/>
    <w:rsid w:val="0009480A"/>
    <w:rsid w:val="00094829"/>
    <w:rsid w:val="00096DB3"/>
    <w:rsid w:val="000A0DD7"/>
    <w:rsid w:val="000A6379"/>
    <w:rsid w:val="000C3237"/>
    <w:rsid w:val="000E06BE"/>
    <w:rsid w:val="000F0F38"/>
    <w:rsid w:val="000F1683"/>
    <w:rsid w:val="00104CA4"/>
    <w:rsid w:val="00115F36"/>
    <w:rsid w:val="00122FAA"/>
    <w:rsid w:val="00174B43"/>
    <w:rsid w:val="00176E7C"/>
    <w:rsid w:val="00191AE6"/>
    <w:rsid w:val="001A336F"/>
    <w:rsid w:val="001A5EE9"/>
    <w:rsid w:val="001B7479"/>
    <w:rsid w:val="001D3752"/>
    <w:rsid w:val="001E6A95"/>
    <w:rsid w:val="001E78B4"/>
    <w:rsid w:val="00206150"/>
    <w:rsid w:val="00206DB4"/>
    <w:rsid w:val="00211122"/>
    <w:rsid w:val="00216F79"/>
    <w:rsid w:val="00220275"/>
    <w:rsid w:val="002203E1"/>
    <w:rsid w:val="002221C8"/>
    <w:rsid w:val="00226C03"/>
    <w:rsid w:val="00235D71"/>
    <w:rsid w:val="0023605C"/>
    <w:rsid w:val="00246C49"/>
    <w:rsid w:val="00250666"/>
    <w:rsid w:val="00254FCE"/>
    <w:rsid w:val="00263676"/>
    <w:rsid w:val="002831ED"/>
    <w:rsid w:val="00283CB7"/>
    <w:rsid w:val="002B05EB"/>
    <w:rsid w:val="002B296E"/>
    <w:rsid w:val="002B5DD8"/>
    <w:rsid w:val="002D1C16"/>
    <w:rsid w:val="002E4293"/>
    <w:rsid w:val="002F70D8"/>
    <w:rsid w:val="00301C8F"/>
    <w:rsid w:val="003037B4"/>
    <w:rsid w:val="003055AF"/>
    <w:rsid w:val="00316525"/>
    <w:rsid w:val="00321827"/>
    <w:rsid w:val="00325707"/>
    <w:rsid w:val="003429EF"/>
    <w:rsid w:val="0036230D"/>
    <w:rsid w:val="0036574C"/>
    <w:rsid w:val="00366FAE"/>
    <w:rsid w:val="00391055"/>
    <w:rsid w:val="003A4299"/>
    <w:rsid w:val="003C2910"/>
    <w:rsid w:val="003C3BFF"/>
    <w:rsid w:val="003C7E49"/>
    <w:rsid w:val="003D1BFE"/>
    <w:rsid w:val="003D3730"/>
    <w:rsid w:val="003D58FC"/>
    <w:rsid w:val="003E0A5B"/>
    <w:rsid w:val="003E6150"/>
    <w:rsid w:val="003F3A6C"/>
    <w:rsid w:val="003F5DA1"/>
    <w:rsid w:val="003F7B9E"/>
    <w:rsid w:val="004076A5"/>
    <w:rsid w:val="004709E9"/>
    <w:rsid w:val="00475EBE"/>
    <w:rsid w:val="004923A7"/>
    <w:rsid w:val="00497D14"/>
    <w:rsid w:val="004B1843"/>
    <w:rsid w:val="004B6A19"/>
    <w:rsid w:val="00502BB8"/>
    <w:rsid w:val="00505382"/>
    <w:rsid w:val="00520AE6"/>
    <w:rsid w:val="005277E1"/>
    <w:rsid w:val="00531EC1"/>
    <w:rsid w:val="00532ED2"/>
    <w:rsid w:val="005334CC"/>
    <w:rsid w:val="00533F70"/>
    <w:rsid w:val="005452CC"/>
    <w:rsid w:val="0055049C"/>
    <w:rsid w:val="00576656"/>
    <w:rsid w:val="005A0FE6"/>
    <w:rsid w:val="005A4E20"/>
    <w:rsid w:val="005B29BD"/>
    <w:rsid w:val="005C447F"/>
    <w:rsid w:val="005C4990"/>
    <w:rsid w:val="005C58E0"/>
    <w:rsid w:val="005F2123"/>
    <w:rsid w:val="005F5817"/>
    <w:rsid w:val="00600484"/>
    <w:rsid w:val="00602008"/>
    <w:rsid w:val="00621335"/>
    <w:rsid w:val="00630B19"/>
    <w:rsid w:val="00632651"/>
    <w:rsid w:val="006333E8"/>
    <w:rsid w:val="00636BE2"/>
    <w:rsid w:val="0063797E"/>
    <w:rsid w:val="006454D8"/>
    <w:rsid w:val="006511BF"/>
    <w:rsid w:val="00652691"/>
    <w:rsid w:val="00664697"/>
    <w:rsid w:val="006715D6"/>
    <w:rsid w:val="006863B5"/>
    <w:rsid w:val="00686DFD"/>
    <w:rsid w:val="006C0810"/>
    <w:rsid w:val="006D1744"/>
    <w:rsid w:val="006E32F2"/>
    <w:rsid w:val="006F63BD"/>
    <w:rsid w:val="0072082E"/>
    <w:rsid w:val="00722E45"/>
    <w:rsid w:val="00724909"/>
    <w:rsid w:val="00751758"/>
    <w:rsid w:val="00757F8E"/>
    <w:rsid w:val="00763FD0"/>
    <w:rsid w:val="00775FC1"/>
    <w:rsid w:val="007834CB"/>
    <w:rsid w:val="0078420A"/>
    <w:rsid w:val="007846BB"/>
    <w:rsid w:val="007A074F"/>
    <w:rsid w:val="007B072C"/>
    <w:rsid w:val="007C02B9"/>
    <w:rsid w:val="007C0FB2"/>
    <w:rsid w:val="007C1DA0"/>
    <w:rsid w:val="007E5C34"/>
    <w:rsid w:val="007F1EC7"/>
    <w:rsid w:val="00816164"/>
    <w:rsid w:val="00826577"/>
    <w:rsid w:val="00843264"/>
    <w:rsid w:val="008572E4"/>
    <w:rsid w:val="0086026F"/>
    <w:rsid w:val="00864D0B"/>
    <w:rsid w:val="00881A2D"/>
    <w:rsid w:val="00894B45"/>
    <w:rsid w:val="008A5977"/>
    <w:rsid w:val="008C1CA5"/>
    <w:rsid w:val="008D62AD"/>
    <w:rsid w:val="008D6944"/>
    <w:rsid w:val="008E2E83"/>
    <w:rsid w:val="008E6195"/>
    <w:rsid w:val="008F0C15"/>
    <w:rsid w:val="009208B0"/>
    <w:rsid w:val="00932A0B"/>
    <w:rsid w:val="009339CF"/>
    <w:rsid w:val="00933E8A"/>
    <w:rsid w:val="00954BD8"/>
    <w:rsid w:val="00956F51"/>
    <w:rsid w:val="00973EC2"/>
    <w:rsid w:val="009A4131"/>
    <w:rsid w:val="009B21B8"/>
    <w:rsid w:val="009B64E3"/>
    <w:rsid w:val="009C22EE"/>
    <w:rsid w:val="009C3658"/>
    <w:rsid w:val="009C6383"/>
    <w:rsid w:val="009D06CB"/>
    <w:rsid w:val="009E7F8F"/>
    <w:rsid w:val="00A12BBF"/>
    <w:rsid w:val="00A20FAA"/>
    <w:rsid w:val="00A47E55"/>
    <w:rsid w:val="00A640C2"/>
    <w:rsid w:val="00A82CD4"/>
    <w:rsid w:val="00A91661"/>
    <w:rsid w:val="00A930A4"/>
    <w:rsid w:val="00A94592"/>
    <w:rsid w:val="00AA447C"/>
    <w:rsid w:val="00AA6DC6"/>
    <w:rsid w:val="00AB2094"/>
    <w:rsid w:val="00AB3EDC"/>
    <w:rsid w:val="00AC319C"/>
    <w:rsid w:val="00AD25BD"/>
    <w:rsid w:val="00AE1E51"/>
    <w:rsid w:val="00AF16A9"/>
    <w:rsid w:val="00AF2058"/>
    <w:rsid w:val="00B065A1"/>
    <w:rsid w:val="00B163BE"/>
    <w:rsid w:val="00B2027F"/>
    <w:rsid w:val="00B33BDC"/>
    <w:rsid w:val="00B411CA"/>
    <w:rsid w:val="00B4653C"/>
    <w:rsid w:val="00B530C0"/>
    <w:rsid w:val="00B56320"/>
    <w:rsid w:val="00B61664"/>
    <w:rsid w:val="00B70218"/>
    <w:rsid w:val="00B71987"/>
    <w:rsid w:val="00B768EB"/>
    <w:rsid w:val="00B80C48"/>
    <w:rsid w:val="00B92C05"/>
    <w:rsid w:val="00B95A38"/>
    <w:rsid w:val="00B9786A"/>
    <w:rsid w:val="00BA08A6"/>
    <w:rsid w:val="00BA2EB8"/>
    <w:rsid w:val="00BB7BC0"/>
    <w:rsid w:val="00BC0135"/>
    <w:rsid w:val="00BC757A"/>
    <w:rsid w:val="00BD5148"/>
    <w:rsid w:val="00BD68DD"/>
    <w:rsid w:val="00BE47B0"/>
    <w:rsid w:val="00BF2454"/>
    <w:rsid w:val="00C14486"/>
    <w:rsid w:val="00C4772B"/>
    <w:rsid w:val="00C5579D"/>
    <w:rsid w:val="00C833CC"/>
    <w:rsid w:val="00C949F8"/>
    <w:rsid w:val="00CA397F"/>
    <w:rsid w:val="00CB3A62"/>
    <w:rsid w:val="00CB409A"/>
    <w:rsid w:val="00CD4422"/>
    <w:rsid w:val="00CF0526"/>
    <w:rsid w:val="00CF20A1"/>
    <w:rsid w:val="00D249D0"/>
    <w:rsid w:val="00D433B5"/>
    <w:rsid w:val="00D45431"/>
    <w:rsid w:val="00D51D76"/>
    <w:rsid w:val="00D57133"/>
    <w:rsid w:val="00D6180E"/>
    <w:rsid w:val="00D6503B"/>
    <w:rsid w:val="00D8622F"/>
    <w:rsid w:val="00D86777"/>
    <w:rsid w:val="00D972EE"/>
    <w:rsid w:val="00DB3CEE"/>
    <w:rsid w:val="00DC1F8E"/>
    <w:rsid w:val="00DC45C6"/>
    <w:rsid w:val="00DC52BD"/>
    <w:rsid w:val="00DC773E"/>
    <w:rsid w:val="00DC7D8E"/>
    <w:rsid w:val="00DE219B"/>
    <w:rsid w:val="00DE4D3C"/>
    <w:rsid w:val="00DF1335"/>
    <w:rsid w:val="00DF1F83"/>
    <w:rsid w:val="00DF31C1"/>
    <w:rsid w:val="00DF5DF9"/>
    <w:rsid w:val="00E035F6"/>
    <w:rsid w:val="00E307DA"/>
    <w:rsid w:val="00E35FF4"/>
    <w:rsid w:val="00E436AE"/>
    <w:rsid w:val="00E473D5"/>
    <w:rsid w:val="00E523D6"/>
    <w:rsid w:val="00EA54C2"/>
    <w:rsid w:val="00EB1D48"/>
    <w:rsid w:val="00ED12CB"/>
    <w:rsid w:val="00EE23B7"/>
    <w:rsid w:val="00EE69C6"/>
    <w:rsid w:val="00EE6A9F"/>
    <w:rsid w:val="00EF4383"/>
    <w:rsid w:val="00EF4A76"/>
    <w:rsid w:val="00F025BD"/>
    <w:rsid w:val="00F27450"/>
    <w:rsid w:val="00F336FD"/>
    <w:rsid w:val="00F345CB"/>
    <w:rsid w:val="00F44D3B"/>
    <w:rsid w:val="00F47F06"/>
    <w:rsid w:val="00F54E4E"/>
    <w:rsid w:val="00F55D8C"/>
    <w:rsid w:val="00F64277"/>
    <w:rsid w:val="00F81183"/>
    <w:rsid w:val="00F813D0"/>
    <w:rsid w:val="00F8433E"/>
    <w:rsid w:val="00F931AB"/>
    <w:rsid w:val="00F935B5"/>
    <w:rsid w:val="00FA0752"/>
    <w:rsid w:val="00FA354F"/>
    <w:rsid w:val="00FA5624"/>
    <w:rsid w:val="00FB1D31"/>
    <w:rsid w:val="00FC4EFC"/>
    <w:rsid w:val="00FC5CB7"/>
    <w:rsid w:val="00FE048B"/>
    <w:rsid w:val="00FE3643"/>
    <w:rsid w:val="00FF5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character" w:styleId="Emphasis">
    <w:name w:val="Emphasis"/>
    <w:qFormat/>
    <w:rsid w:val="000F1683"/>
    <w:rPr>
      <w:i/>
      <w:iCs/>
    </w:rPr>
  </w:style>
  <w:style w:type="character" w:customStyle="1" w:styleId="apple-converted-space">
    <w:name w:val="apple-converted-space"/>
    <w:basedOn w:val="DefaultParagraphFont"/>
    <w:rsid w:val="000F1683"/>
  </w:style>
  <w:style w:type="character" w:customStyle="1" w:styleId="il">
    <w:name w:val="il"/>
    <w:basedOn w:val="DefaultParagraphFont"/>
    <w:rsid w:val="000F1683"/>
  </w:style>
  <w:style w:type="character" w:styleId="Strong">
    <w:name w:val="Strong"/>
    <w:qFormat/>
    <w:rsid w:val="000F1683"/>
    <w:rPr>
      <w:b/>
      <w:bCs/>
    </w:rPr>
  </w:style>
  <w:style w:type="paragraph" w:styleId="FootnoteText">
    <w:name w:val="footnote text"/>
    <w:basedOn w:val="Normal"/>
    <w:link w:val="FootnoteTextChar"/>
    <w:rsid w:val="008D62AD"/>
  </w:style>
  <w:style w:type="character" w:customStyle="1" w:styleId="FootnoteTextChar">
    <w:name w:val="Footnote Text Char"/>
    <w:link w:val="FootnoteText"/>
    <w:rsid w:val="008D62AD"/>
    <w:rPr>
      <w:lang w:val="en-GB" w:eastAsia="ar-SA"/>
    </w:rPr>
  </w:style>
  <w:style w:type="character" w:styleId="FootnoteReference">
    <w:name w:val="footnote reference"/>
    <w:rsid w:val="008D62AD"/>
    <w:rPr>
      <w:vertAlign w:val="superscript"/>
    </w:rPr>
  </w:style>
  <w:style w:type="character" w:styleId="FollowedHyperlink">
    <w:name w:val="FollowedHyperlink"/>
    <w:rsid w:val="00E473D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rsid w:val="005A4E20"/>
    <w:pPr>
      <w:tabs>
        <w:tab w:val="center" w:pos="4320"/>
        <w:tab w:val="right" w:pos="8640"/>
      </w:tabs>
    </w:pPr>
  </w:style>
  <w:style w:type="paragraph" w:styleId="Podnojestranice">
    <w:name w:val="footer"/>
    <w:basedOn w:val="Normal"/>
    <w:rsid w:val="005A4E20"/>
    <w:pPr>
      <w:tabs>
        <w:tab w:val="center" w:pos="4320"/>
        <w:tab w:val="right" w:pos="8640"/>
      </w:tabs>
    </w:pPr>
  </w:style>
  <w:style w:type="character" w:styleId="Hiperveza">
    <w:name w:val="Hyperlink"/>
    <w:rsid w:val="005A4E20"/>
    <w:rPr>
      <w:color w:val="0000FF"/>
      <w:u w:val="single"/>
    </w:rPr>
  </w:style>
  <w:style w:type="paragraph" w:styleId="Tekstubaloniu">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character" w:styleId="Naglaavanje">
    <w:name w:val="Emphasis"/>
    <w:qFormat/>
    <w:rsid w:val="000F1683"/>
    <w:rPr>
      <w:i/>
      <w:iCs/>
    </w:rPr>
  </w:style>
  <w:style w:type="character" w:customStyle="1" w:styleId="apple-converted-space">
    <w:name w:val="apple-converted-space"/>
    <w:basedOn w:val="Podrazumevanifontpasusa"/>
    <w:rsid w:val="000F1683"/>
  </w:style>
  <w:style w:type="character" w:customStyle="1" w:styleId="il">
    <w:name w:val="il"/>
    <w:basedOn w:val="Podrazumevanifontpasusa"/>
    <w:rsid w:val="000F1683"/>
  </w:style>
  <w:style w:type="character" w:styleId="Naglaeno">
    <w:name w:val="Strong"/>
    <w:qFormat/>
    <w:rsid w:val="000F1683"/>
    <w:rPr>
      <w:b/>
      <w:bCs/>
    </w:rPr>
  </w:style>
  <w:style w:type="paragraph" w:styleId="Tekstfusnote">
    <w:name w:val="footnote text"/>
    <w:basedOn w:val="Normal"/>
    <w:link w:val="TekstfusnoteChar"/>
    <w:rsid w:val="008D62AD"/>
  </w:style>
  <w:style w:type="character" w:customStyle="1" w:styleId="TekstfusnoteChar">
    <w:name w:val="Tekst fusnote Char"/>
    <w:link w:val="Tekstfusnote"/>
    <w:rsid w:val="008D62AD"/>
    <w:rPr>
      <w:lang w:val="en-GB" w:eastAsia="ar-SA"/>
    </w:rPr>
  </w:style>
  <w:style w:type="character" w:styleId="Referencafusnote">
    <w:name w:val="footnote reference"/>
    <w:rsid w:val="008D62AD"/>
    <w:rPr>
      <w:vertAlign w:val="superscript"/>
    </w:rPr>
  </w:style>
  <w:style w:type="character" w:styleId="Ispraenahiperveza">
    <w:name w:val="FollowedHyperlink"/>
    <w:rsid w:val="00E473D5"/>
    <w:rPr>
      <w:color w:val="800080"/>
      <w:u w:val="single"/>
    </w:rPr>
  </w:style>
</w:styles>
</file>

<file path=word/webSettings.xml><?xml version="1.0" encoding="utf-8"?>
<w:webSettings xmlns:r="http://schemas.openxmlformats.org/officeDocument/2006/relationships" xmlns:w="http://schemas.openxmlformats.org/wordprocessingml/2006/main">
  <w:divs>
    <w:div w:id="426317273">
      <w:bodyDiv w:val="1"/>
      <w:marLeft w:val="0"/>
      <w:marRight w:val="0"/>
      <w:marTop w:val="0"/>
      <w:marBottom w:val="0"/>
      <w:divBdr>
        <w:top w:val="none" w:sz="0" w:space="0" w:color="auto"/>
        <w:left w:val="none" w:sz="0" w:space="0" w:color="auto"/>
        <w:bottom w:val="none" w:sz="0" w:space="0" w:color="auto"/>
        <w:right w:val="none" w:sz="0" w:space="0" w:color="auto"/>
      </w:divBdr>
      <w:divsChild>
        <w:div w:id="527447972">
          <w:marLeft w:val="0"/>
          <w:marRight w:val="0"/>
          <w:marTop w:val="0"/>
          <w:marBottom w:val="0"/>
          <w:divBdr>
            <w:top w:val="none" w:sz="0" w:space="0" w:color="auto"/>
            <w:left w:val="none" w:sz="0" w:space="0" w:color="auto"/>
            <w:bottom w:val="none" w:sz="0" w:space="0" w:color="auto"/>
            <w:right w:val="none" w:sz="0" w:space="0" w:color="auto"/>
          </w:divBdr>
          <w:divsChild>
            <w:div w:id="2047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3663">
      <w:bodyDiv w:val="1"/>
      <w:marLeft w:val="0"/>
      <w:marRight w:val="0"/>
      <w:marTop w:val="0"/>
      <w:marBottom w:val="0"/>
      <w:divBdr>
        <w:top w:val="none" w:sz="0" w:space="0" w:color="auto"/>
        <w:left w:val="none" w:sz="0" w:space="0" w:color="auto"/>
        <w:bottom w:val="none" w:sz="0" w:space="0" w:color="auto"/>
        <w:right w:val="none" w:sz="0" w:space="0" w:color="auto"/>
      </w:divBdr>
    </w:div>
    <w:div w:id="735857928">
      <w:bodyDiv w:val="1"/>
      <w:marLeft w:val="0"/>
      <w:marRight w:val="0"/>
      <w:marTop w:val="0"/>
      <w:marBottom w:val="0"/>
      <w:divBdr>
        <w:top w:val="none" w:sz="0" w:space="0" w:color="auto"/>
        <w:left w:val="none" w:sz="0" w:space="0" w:color="auto"/>
        <w:bottom w:val="none" w:sz="0" w:space="0" w:color="auto"/>
        <w:right w:val="none" w:sz="0" w:space="0" w:color="auto"/>
      </w:divBdr>
    </w:div>
    <w:div w:id="1041325389">
      <w:bodyDiv w:val="1"/>
      <w:marLeft w:val="0"/>
      <w:marRight w:val="0"/>
      <w:marTop w:val="0"/>
      <w:marBottom w:val="0"/>
      <w:divBdr>
        <w:top w:val="none" w:sz="0" w:space="0" w:color="auto"/>
        <w:left w:val="none" w:sz="0" w:space="0" w:color="auto"/>
        <w:bottom w:val="none" w:sz="0" w:space="0" w:color="auto"/>
        <w:right w:val="none" w:sz="0" w:space="0" w:color="auto"/>
      </w:divBdr>
    </w:div>
    <w:div w:id="1694064292">
      <w:bodyDiv w:val="1"/>
      <w:marLeft w:val="0"/>
      <w:marRight w:val="0"/>
      <w:marTop w:val="0"/>
      <w:marBottom w:val="0"/>
      <w:divBdr>
        <w:top w:val="none" w:sz="0" w:space="0" w:color="auto"/>
        <w:left w:val="none" w:sz="0" w:space="0" w:color="auto"/>
        <w:bottom w:val="none" w:sz="0" w:space="0" w:color="auto"/>
        <w:right w:val="none" w:sz="0" w:space="0" w:color="auto"/>
      </w:divBdr>
      <w:divsChild>
        <w:div w:id="33775534">
          <w:marLeft w:val="0"/>
          <w:marRight w:val="0"/>
          <w:marTop w:val="0"/>
          <w:marBottom w:val="0"/>
          <w:divBdr>
            <w:top w:val="none" w:sz="0" w:space="0" w:color="auto"/>
            <w:left w:val="none" w:sz="0" w:space="0" w:color="auto"/>
            <w:bottom w:val="none" w:sz="0" w:space="0" w:color="auto"/>
            <w:right w:val="none" w:sz="0" w:space="0" w:color="auto"/>
          </w:divBdr>
        </w:div>
        <w:div w:id="93862653">
          <w:marLeft w:val="0"/>
          <w:marRight w:val="0"/>
          <w:marTop w:val="0"/>
          <w:marBottom w:val="0"/>
          <w:divBdr>
            <w:top w:val="none" w:sz="0" w:space="0" w:color="auto"/>
            <w:left w:val="none" w:sz="0" w:space="0" w:color="auto"/>
            <w:bottom w:val="none" w:sz="0" w:space="0" w:color="auto"/>
            <w:right w:val="none" w:sz="0" w:space="0" w:color="auto"/>
          </w:divBdr>
        </w:div>
        <w:div w:id="179396824">
          <w:marLeft w:val="0"/>
          <w:marRight w:val="0"/>
          <w:marTop w:val="0"/>
          <w:marBottom w:val="0"/>
          <w:divBdr>
            <w:top w:val="none" w:sz="0" w:space="0" w:color="auto"/>
            <w:left w:val="none" w:sz="0" w:space="0" w:color="auto"/>
            <w:bottom w:val="none" w:sz="0" w:space="0" w:color="auto"/>
            <w:right w:val="none" w:sz="0" w:space="0" w:color="auto"/>
          </w:divBdr>
        </w:div>
        <w:div w:id="388043927">
          <w:marLeft w:val="0"/>
          <w:marRight w:val="0"/>
          <w:marTop w:val="0"/>
          <w:marBottom w:val="0"/>
          <w:divBdr>
            <w:top w:val="none" w:sz="0" w:space="0" w:color="auto"/>
            <w:left w:val="none" w:sz="0" w:space="0" w:color="auto"/>
            <w:bottom w:val="none" w:sz="0" w:space="0" w:color="auto"/>
            <w:right w:val="none" w:sz="0" w:space="0" w:color="auto"/>
          </w:divBdr>
        </w:div>
        <w:div w:id="459301452">
          <w:marLeft w:val="0"/>
          <w:marRight w:val="0"/>
          <w:marTop w:val="0"/>
          <w:marBottom w:val="0"/>
          <w:divBdr>
            <w:top w:val="none" w:sz="0" w:space="0" w:color="auto"/>
            <w:left w:val="none" w:sz="0" w:space="0" w:color="auto"/>
            <w:bottom w:val="none" w:sz="0" w:space="0" w:color="auto"/>
            <w:right w:val="none" w:sz="0" w:space="0" w:color="auto"/>
          </w:divBdr>
        </w:div>
        <w:div w:id="568465633">
          <w:marLeft w:val="0"/>
          <w:marRight w:val="0"/>
          <w:marTop w:val="0"/>
          <w:marBottom w:val="0"/>
          <w:divBdr>
            <w:top w:val="none" w:sz="0" w:space="0" w:color="auto"/>
            <w:left w:val="none" w:sz="0" w:space="0" w:color="auto"/>
            <w:bottom w:val="none" w:sz="0" w:space="0" w:color="auto"/>
            <w:right w:val="none" w:sz="0" w:space="0" w:color="auto"/>
          </w:divBdr>
        </w:div>
        <w:div w:id="820971030">
          <w:marLeft w:val="0"/>
          <w:marRight w:val="0"/>
          <w:marTop w:val="0"/>
          <w:marBottom w:val="0"/>
          <w:divBdr>
            <w:top w:val="none" w:sz="0" w:space="0" w:color="auto"/>
            <w:left w:val="none" w:sz="0" w:space="0" w:color="auto"/>
            <w:bottom w:val="none" w:sz="0" w:space="0" w:color="auto"/>
            <w:right w:val="none" w:sz="0" w:space="0" w:color="auto"/>
          </w:divBdr>
        </w:div>
        <w:div w:id="1134058838">
          <w:marLeft w:val="0"/>
          <w:marRight w:val="0"/>
          <w:marTop w:val="0"/>
          <w:marBottom w:val="0"/>
          <w:divBdr>
            <w:top w:val="none" w:sz="0" w:space="0" w:color="auto"/>
            <w:left w:val="none" w:sz="0" w:space="0" w:color="auto"/>
            <w:bottom w:val="none" w:sz="0" w:space="0" w:color="auto"/>
            <w:right w:val="none" w:sz="0" w:space="0" w:color="auto"/>
          </w:divBdr>
        </w:div>
        <w:div w:id="1290940195">
          <w:marLeft w:val="0"/>
          <w:marRight w:val="0"/>
          <w:marTop w:val="0"/>
          <w:marBottom w:val="0"/>
          <w:divBdr>
            <w:top w:val="none" w:sz="0" w:space="0" w:color="auto"/>
            <w:left w:val="none" w:sz="0" w:space="0" w:color="auto"/>
            <w:bottom w:val="none" w:sz="0" w:space="0" w:color="auto"/>
            <w:right w:val="none" w:sz="0" w:space="0" w:color="auto"/>
          </w:divBdr>
        </w:div>
        <w:div w:id="1535651026">
          <w:marLeft w:val="0"/>
          <w:marRight w:val="0"/>
          <w:marTop w:val="0"/>
          <w:marBottom w:val="0"/>
          <w:divBdr>
            <w:top w:val="none" w:sz="0" w:space="0" w:color="auto"/>
            <w:left w:val="none" w:sz="0" w:space="0" w:color="auto"/>
            <w:bottom w:val="none" w:sz="0" w:space="0" w:color="auto"/>
            <w:right w:val="none" w:sz="0" w:space="0" w:color="auto"/>
          </w:divBdr>
        </w:div>
        <w:div w:id="1588029249">
          <w:marLeft w:val="0"/>
          <w:marRight w:val="0"/>
          <w:marTop w:val="0"/>
          <w:marBottom w:val="0"/>
          <w:divBdr>
            <w:top w:val="none" w:sz="0" w:space="0" w:color="auto"/>
            <w:left w:val="none" w:sz="0" w:space="0" w:color="auto"/>
            <w:bottom w:val="none" w:sz="0" w:space="0" w:color="auto"/>
            <w:right w:val="none" w:sz="0" w:space="0" w:color="auto"/>
          </w:divBdr>
        </w:div>
        <w:div w:id="1701927486">
          <w:marLeft w:val="0"/>
          <w:marRight w:val="0"/>
          <w:marTop w:val="0"/>
          <w:marBottom w:val="0"/>
          <w:divBdr>
            <w:top w:val="none" w:sz="0" w:space="0" w:color="auto"/>
            <w:left w:val="none" w:sz="0" w:space="0" w:color="auto"/>
            <w:bottom w:val="none" w:sz="0" w:space="0" w:color="auto"/>
            <w:right w:val="none" w:sz="0" w:space="0" w:color="auto"/>
          </w:divBdr>
        </w:div>
        <w:div w:id="1968122836">
          <w:marLeft w:val="0"/>
          <w:marRight w:val="0"/>
          <w:marTop w:val="0"/>
          <w:marBottom w:val="0"/>
          <w:divBdr>
            <w:top w:val="none" w:sz="0" w:space="0" w:color="auto"/>
            <w:left w:val="none" w:sz="0" w:space="0" w:color="auto"/>
            <w:bottom w:val="none" w:sz="0" w:space="0" w:color="auto"/>
            <w:right w:val="none" w:sz="0" w:space="0" w:color="auto"/>
          </w:divBdr>
        </w:div>
      </w:divsChild>
    </w:div>
    <w:div w:id="1786654808">
      <w:bodyDiv w:val="1"/>
      <w:marLeft w:val="0"/>
      <w:marRight w:val="0"/>
      <w:marTop w:val="0"/>
      <w:marBottom w:val="0"/>
      <w:divBdr>
        <w:top w:val="none" w:sz="0" w:space="0" w:color="auto"/>
        <w:left w:val="none" w:sz="0" w:space="0" w:color="auto"/>
        <w:bottom w:val="none" w:sz="0" w:space="0" w:color="auto"/>
        <w:right w:val="none" w:sz="0" w:space="0" w:color="auto"/>
      </w:divBdr>
      <w:divsChild>
        <w:div w:id="1210534877">
          <w:marLeft w:val="0"/>
          <w:marRight w:val="0"/>
          <w:marTop w:val="0"/>
          <w:marBottom w:val="0"/>
          <w:divBdr>
            <w:top w:val="none" w:sz="0" w:space="0" w:color="auto"/>
            <w:left w:val="none" w:sz="0" w:space="0" w:color="auto"/>
            <w:bottom w:val="none" w:sz="0" w:space="0" w:color="auto"/>
            <w:right w:val="none" w:sz="0" w:space="0" w:color="auto"/>
          </w:divBdr>
          <w:divsChild>
            <w:div w:id="4668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5190">
      <w:bodyDiv w:val="1"/>
      <w:marLeft w:val="0"/>
      <w:marRight w:val="0"/>
      <w:marTop w:val="0"/>
      <w:marBottom w:val="0"/>
      <w:divBdr>
        <w:top w:val="none" w:sz="0" w:space="0" w:color="auto"/>
        <w:left w:val="none" w:sz="0" w:space="0" w:color="auto"/>
        <w:bottom w:val="none" w:sz="0" w:space="0" w:color="auto"/>
        <w:right w:val="none" w:sz="0" w:space="0" w:color="auto"/>
      </w:divBdr>
      <w:divsChild>
        <w:div w:id="1672488242">
          <w:marLeft w:val="0"/>
          <w:marRight w:val="0"/>
          <w:marTop w:val="0"/>
          <w:marBottom w:val="0"/>
          <w:divBdr>
            <w:top w:val="none" w:sz="0" w:space="0" w:color="auto"/>
            <w:left w:val="none" w:sz="0" w:space="0" w:color="auto"/>
            <w:bottom w:val="none" w:sz="0" w:space="0" w:color="auto"/>
            <w:right w:val="none" w:sz="0" w:space="0" w:color="auto"/>
          </w:divBdr>
          <w:divsChild>
            <w:div w:id="1308171549">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3025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3919">
      <w:bodyDiv w:val="1"/>
      <w:marLeft w:val="0"/>
      <w:marRight w:val="0"/>
      <w:marTop w:val="0"/>
      <w:marBottom w:val="0"/>
      <w:divBdr>
        <w:top w:val="none" w:sz="0" w:space="0" w:color="auto"/>
        <w:left w:val="none" w:sz="0" w:space="0" w:color="auto"/>
        <w:bottom w:val="none" w:sz="0" w:space="0" w:color="auto"/>
        <w:right w:val="none" w:sz="0" w:space="0" w:color="auto"/>
      </w:divBdr>
    </w:div>
    <w:div w:id="21296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t/dghl/monitoring/greco/evaluations/round3/GrecoRC3%282014%2915_Second_Serbia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ransparentnost.org.rs/index.php?option=com_content&amp;view=article&amp;id=801%3Akorisne-izmene-ali-najbitniji-problemi-zakona-ostaju-netaknuti&amp;catid=34%3Afacebook-naslovi&amp;Itemid=27&amp;lang=sr" TargetMode="External"/><Relationship Id="rId4" Type="http://schemas.openxmlformats.org/officeDocument/2006/relationships/settings" Target="settings.xml"/><Relationship Id="rId9" Type="http://schemas.openxmlformats.org/officeDocument/2006/relationships/hyperlink" Target="http://www.coe.int/t/dghl/monitoring/greco/evaluations/round3/GrecoEval3%282010%293_Serbia_Two_EN.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5F62-B6A0-4729-8E68-9F1E07A3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665</Words>
  <Characters>3794</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Poštovani gospodine Vujčić,</vt:lpstr>
      <vt:lpstr>Poštovani gospodine Vujčić,</vt:lpstr>
    </vt:vector>
  </TitlesOfParts>
  <Company>Transparency Serbia</Company>
  <LinksUpToDate>false</LinksUpToDate>
  <CharactersWithSpaces>4451</CharactersWithSpaces>
  <SharedDoc>false</SharedDoc>
  <HLinks>
    <vt:vector size="18" baseType="variant">
      <vt:variant>
        <vt:i4>1441794</vt:i4>
      </vt:variant>
      <vt:variant>
        <vt:i4>0</vt:i4>
      </vt:variant>
      <vt:variant>
        <vt:i4>0</vt:i4>
      </vt:variant>
      <vt:variant>
        <vt:i4>5</vt:i4>
      </vt:variant>
      <vt:variant>
        <vt:lpwstr>http://goo.gl/Xb3mMr</vt:lpwstr>
      </vt:variant>
      <vt:variant>
        <vt:lpwstr/>
      </vt: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creator>Bane</dc:creator>
  <cp:lastModifiedBy>x4</cp:lastModifiedBy>
  <cp:revision>8</cp:revision>
  <cp:lastPrinted>2007-06-25T13:35:00Z</cp:lastPrinted>
  <dcterms:created xsi:type="dcterms:W3CDTF">2014-10-17T09:44:00Z</dcterms:created>
  <dcterms:modified xsi:type="dcterms:W3CDTF">2014-10-17T10:27:00Z</dcterms:modified>
</cp:coreProperties>
</file>