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16"/>
      </w:tblGrid>
      <w:tr w:rsidR="00335464" w:rsidRPr="00BA15D5">
        <w:trPr>
          <w:trHeight w:val="2880"/>
          <w:jc w:val="center"/>
        </w:trPr>
        <w:tc>
          <w:tcPr>
            <w:tcW w:w="5000" w:type="pct"/>
          </w:tcPr>
          <w:p w:rsidR="00335464" w:rsidRPr="00BA15D5" w:rsidRDefault="00335464" w:rsidP="00335464">
            <w:pPr>
              <w:pStyle w:val="NoSpacing"/>
              <w:jc w:val="center"/>
              <w:rPr>
                <w:rFonts w:asciiTheme="majorHAnsi" w:hAnsiTheme="majorHAnsi"/>
                <w:caps/>
              </w:rPr>
            </w:pPr>
          </w:p>
        </w:tc>
      </w:tr>
      <w:tr w:rsidR="00335464" w:rsidRPr="00BA15D5">
        <w:trPr>
          <w:trHeight w:val="1440"/>
          <w:jc w:val="center"/>
        </w:trPr>
        <w:tc>
          <w:tcPr>
            <w:tcW w:w="5000" w:type="pct"/>
            <w:tcBorders>
              <w:bottom w:val="single" w:sz="4" w:space="0" w:color="4F81BD"/>
            </w:tcBorders>
            <w:vAlign w:val="center"/>
          </w:tcPr>
          <w:p w:rsidR="00335464" w:rsidRPr="00BA15D5" w:rsidRDefault="00DB40D4" w:rsidP="003400D1">
            <w:pPr>
              <w:jc w:val="center"/>
              <w:rPr>
                <w:rFonts w:asciiTheme="majorHAnsi" w:hAnsiTheme="majorHAnsi"/>
                <w:b/>
                <w:sz w:val="40"/>
                <w:szCs w:val="40"/>
              </w:rPr>
            </w:pPr>
            <w:r w:rsidRPr="00BA15D5">
              <w:rPr>
                <w:rFonts w:asciiTheme="majorHAnsi" w:hAnsiTheme="majorHAnsi"/>
                <w:b/>
                <w:sz w:val="40"/>
                <w:szCs w:val="40"/>
              </w:rPr>
              <w:t>Monitoring javnosti rada Vlade Srbije</w:t>
            </w:r>
          </w:p>
        </w:tc>
      </w:tr>
      <w:tr w:rsidR="00335464" w:rsidRPr="001B7630">
        <w:trPr>
          <w:trHeight w:val="720"/>
          <w:jc w:val="center"/>
        </w:trPr>
        <w:tc>
          <w:tcPr>
            <w:tcW w:w="5000" w:type="pct"/>
            <w:tcBorders>
              <w:top w:val="single" w:sz="4" w:space="0" w:color="4F81BD"/>
            </w:tcBorders>
            <w:vAlign w:val="center"/>
          </w:tcPr>
          <w:p w:rsidR="00BA15D5" w:rsidRPr="00BA15D5" w:rsidRDefault="00BA15D5" w:rsidP="00DB40D4">
            <w:pPr>
              <w:jc w:val="center"/>
              <w:rPr>
                <w:rFonts w:asciiTheme="majorHAnsi" w:hAnsiTheme="majorHAnsi"/>
                <w:b/>
                <w:sz w:val="28"/>
                <w:szCs w:val="28"/>
                <w:lang w:val="pt-BR"/>
              </w:rPr>
            </w:pPr>
          </w:p>
          <w:p w:rsidR="00DB40D4" w:rsidRPr="00BA15D5" w:rsidRDefault="00BA15D5" w:rsidP="00DB40D4">
            <w:pPr>
              <w:jc w:val="center"/>
              <w:rPr>
                <w:rFonts w:asciiTheme="majorHAnsi" w:hAnsiTheme="majorHAnsi"/>
                <w:b/>
                <w:sz w:val="32"/>
                <w:szCs w:val="32"/>
                <w:lang w:val="pt-BR"/>
              </w:rPr>
            </w:pPr>
            <w:r w:rsidRPr="00BA15D5">
              <w:rPr>
                <w:rFonts w:asciiTheme="majorHAnsi" w:hAnsiTheme="majorHAnsi"/>
                <w:b/>
                <w:sz w:val="32"/>
                <w:szCs w:val="32"/>
                <w:lang w:val="pt-BR"/>
              </w:rPr>
              <w:t>Sažetak izveštaja</w:t>
            </w:r>
          </w:p>
          <w:p w:rsidR="00BA15D5" w:rsidRPr="00BA15D5" w:rsidRDefault="00BA15D5" w:rsidP="00DB40D4">
            <w:pPr>
              <w:jc w:val="center"/>
              <w:rPr>
                <w:rFonts w:asciiTheme="majorHAnsi" w:hAnsiTheme="majorHAnsi"/>
                <w:b/>
                <w:sz w:val="28"/>
                <w:szCs w:val="28"/>
                <w:lang w:val="pt-BR"/>
              </w:rPr>
            </w:pPr>
          </w:p>
          <w:p w:rsidR="00BA15D5" w:rsidRPr="00BA15D5" w:rsidRDefault="00BA15D5" w:rsidP="00DB40D4">
            <w:pPr>
              <w:jc w:val="center"/>
              <w:rPr>
                <w:rFonts w:asciiTheme="majorHAnsi" w:hAnsiTheme="majorHAnsi"/>
                <w:b/>
                <w:sz w:val="28"/>
                <w:szCs w:val="28"/>
                <w:lang w:val="sr-Latn-CS"/>
              </w:rPr>
            </w:pPr>
          </w:p>
          <w:p w:rsidR="00DB40D4" w:rsidRPr="00BA15D5" w:rsidRDefault="00DB40D4" w:rsidP="00DB40D4">
            <w:pPr>
              <w:jc w:val="center"/>
              <w:rPr>
                <w:rFonts w:asciiTheme="majorHAnsi" w:hAnsiTheme="majorHAnsi"/>
                <w:b/>
                <w:sz w:val="36"/>
                <w:szCs w:val="36"/>
                <w:lang w:val="es-ES"/>
              </w:rPr>
            </w:pPr>
            <w:r w:rsidRPr="00BA15D5">
              <w:rPr>
                <w:rFonts w:asciiTheme="majorHAnsi" w:hAnsiTheme="majorHAnsi"/>
                <w:b/>
                <w:sz w:val="36"/>
                <w:szCs w:val="36"/>
                <w:lang w:val="es-ES"/>
              </w:rPr>
              <w:t>Transparentnost – Srbija</w:t>
            </w:r>
          </w:p>
          <w:p w:rsidR="00DB40D4" w:rsidRPr="00BA15D5" w:rsidRDefault="00DB40D4" w:rsidP="00DB40D4">
            <w:pPr>
              <w:jc w:val="center"/>
              <w:rPr>
                <w:rFonts w:asciiTheme="majorHAnsi" w:hAnsiTheme="majorHAnsi"/>
                <w:b/>
                <w:sz w:val="36"/>
                <w:szCs w:val="36"/>
                <w:lang w:val="es-ES"/>
              </w:rPr>
            </w:pPr>
          </w:p>
          <w:p w:rsidR="00DB40D4" w:rsidRPr="00BA15D5" w:rsidRDefault="00DB40D4" w:rsidP="00DB40D4">
            <w:pPr>
              <w:jc w:val="center"/>
              <w:rPr>
                <w:rFonts w:asciiTheme="majorHAnsi" w:hAnsiTheme="majorHAnsi"/>
                <w:b/>
                <w:sz w:val="36"/>
                <w:szCs w:val="36"/>
                <w:lang w:val="es-ES"/>
              </w:rPr>
            </w:pPr>
            <w:r w:rsidRPr="00BA15D5">
              <w:rPr>
                <w:rFonts w:asciiTheme="majorHAnsi" w:hAnsiTheme="majorHAnsi"/>
                <w:b/>
                <w:sz w:val="36"/>
                <w:szCs w:val="36"/>
                <w:lang w:val="es-ES"/>
              </w:rPr>
              <w:t>septembar 2013</w:t>
            </w:r>
            <w:r w:rsidR="0091006A" w:rsidRPr="00BA15D5">
              <w:rPr>
                <w:rFonts w:asciiTheme="majorHAnsi" w:hAnsiTheme="majorHAnsi"/>
                <w:b/>
                <w:sz w:val="36"/>
                <w:szCs w:val="36"/>
                <w:lang w:val="es-ES"/>
              </w:rPr>
              <w:t>.</w:t>
            </w:r>
          </w:p>
          <w:p w:rsidR="00335464" w:rsidRPr="00BA15D5" w:rsidRDefault="00335464" w:rsidP="00DB40D4">
            <w:pPr>
              <w:pStyle w:val="NoSpacing"/>
              <w:jc w:val="center"/>
              <w:rPr>
                <w:rFonts w:asciiTheme="majorHAnsi" w:hAnsiTheme="majorHAnsi"/>
                <w:sz w:val="44"/>
                <w:szCs w:val="44"/>
                <w:lang w:val="es-ES"/>
              </w:rPr>
            </w:pPr>
          </w:p>
        </w:tc>
      </w:tr>
      <w:tr w:rsidR="00335464" w:rsidRPr="001B7630">
        <w:trPr>
          <w:trHeight w:val="360"/>
          <w:jc w:val="center"/>
        </w:trPr>
        <w:tc>
          <w:tcPr>
            <w:tcW w:w="5000" w:type="pct"/>
            <w:vAlign w:val="center"/>
          </w:tcPr>
          <w:p w:rsidR="00335464" w:rsidRPr="00BA15D5" w:rsidRDefault="00335464">
            <w:pPr>
              <w:pStyle w:val="NoSpacing"/>
              <w:jc w:val="center"/>
              <w:rPr>
                <w:rFonts w:asciiTheme="majorHAnsi" w:hAnsiTheme="majorHAnsi"/>
                <w:lang w:val="es-ES"/>
              </w:rPr>
            </w:pPr>
          </w:p>
        </w:tc>
      </w:tr>
    </w:tbl>
    <w:p w:rsidR="00335464" w:rsidRPr="00BA15D5" w:rsidRDefault="00335464">
      <w:pPr>
        <w:rPr>
          <w:rFonts w:asciiTheme="majorHAnsi" w:hAnsiTheme="majorHAnsi"/>
          <w:lang w:val="es-ES"/>
        </w:rPr>
      </w:pPr>
    </w:p>
    <w:p w:rsidR="00335464" w:rsidRPr="00BA15D5" w:rsidRDefault="00335464">
      <w:pPr>
        <w:rPr>
          <w:rFonts w:asciiTheme="majorHAnsi" w:hAnsiTheme="majorHAnsi"/>
          <w:lang w:val="es-ES"/>
        </w:rPr>
      </w:pPr>
    </w:p>
    <w:p w:rsidR="0091006A" w:rsidRPr="00BA15D5" w:rsidRDefault="0091006A" w:rsidP="00DB40D4">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91006A" w:rsidRPr="00BA15D5" w:rsidRDefault="0091006A" w:rsidP="0091006A">
      <w:pPr>
        <w:rPr>
          <w:rFonts w:asciiTheme="majorHAnsi" w:hAnsiTheme="majorHAnsi"/>
          <w:sz w:val="24"/>
          <w:szCs w:val="24"/>
          <w:lang w:val="sr-Latn-CS"/>
        </w:rPr>
      </w:pPr>
    </w:p>
    <w:p w:rsidR="00FE3243" w:rsidRPr="00BA15D5" w:rsidRDefault="00FE3243" w:rsidP="00BA15D5">
      <w:pPr>
        <w:rPr>
          <w:rFonts w:asciiTheme="majorHAnsi" w:hAnsiTheme="majorHAnsi"/>
          <w:color w:val="333333"/>
          <w:sz w:val="24"/>
          <w:szCs w:val="24"/>
          <w:lang w:val="pt-BR"/>
        </w:rPr>
      </w:pPr>
    </w:p>
    <w:p w:rsidR="001B7630" w:rsidRPr="001B7630" w:rsidRDefault="001B7630" w:rsidP="001B7630">
      <w:pPr>
        <w:jc w:val="center"/>
        <w:rPr>
          <w:rFonts w:asciiTheme="majorHAnsi" w:hAnsiTheme="majorHAnsi"/>
          <w:b/>
          <w:sz w:val="28"/>
          <w:szCs w:val="28"/>
          <w:lang w:val="pt-BR"/>
        </w:rPr>
      </w:pPr>
      <w:r w:rsidRPr="001B7630">
        <w:rPr>
          <w:rFonts w:asciiTheme="majorHAnsi" w:hAnsiTheme="majorHAnsi"/>
          <w:b/>
          <w:sz w:val="28"/>
          <w:szCs w:val="28"/>
          <w:lang w:val="pt-BR"/>
        </w:rPr>
        <w:lastRenderedPageBreak/>
        <w:t>Monitoring javnosti rada Vlade Srbije – sažetak izveštaja</w:t>
      </w:r>
    </w:p>
    <w:p w:rsidR="001B7630" w:rsidRPr="001B7630" w:rsidRDefault="001B7630" w:rsidP="001B7630">
      <w:pPr>
        <w:jc w:val="both"/>
        <w:rPr>
          <w:rFonts w:ascii="Cambria" w:hAnsi="Cambria"/>
          <w:sz w:val="24"/>
          <w:szCs w:val="24"/>
          <w:lang w:val="pt-BR"/>
        </w:rPr>
      </w:pPr>
    </w:p>
    <w:p w:rsidR="001B7630" w:rsidRDefault="001B7630" w:rsidP="001B7630">
      <w:pPr>
        <w:jc w:val="both"/>
        <w:rPr>
          <w:rFonts w:ascii="Cambria" w:hAnsi="Cambria"/>
          <w:sz w:val="24"/>
          <w:szCs w:val="24"/>
          <w:lang w:val="pl-PL"/>
        </w:rPr>
      </w:pPr>
    </w:p>
    <w:p w:rsidR="001B7630" w:rsidRPr="001B7630" w:rsidRDefault="001B7630" w:rsidP="001B7630">
      <w:pPr>
        <w:jc w:val="both"/>
        <w:rPr>
          <w:rFonts w:ascii="Cambria" w:hAnsi="Cambria"/>
          <w:sz w:val="24"/>
          <w:szCs w:val="24"/>
          <w:lang w:val="pt-BR"/>
        </w:rPr>
      </w:pPr>
      <w:r>
        <w:rPr>
          <w:rFonts w:ascii="Cambria" w:hAnsi="Cambria"/>
          <w:sz w:val="24"/>
          <w:szCs w:val="24"/>
          <w:lang w:val="pl-PL"/>
        </w:rPr>
        <w:t>Transparentnost Srbija je u prethodnih sedam meseci</w:t>
      </w:r>
      <w:r w:rsidRPr="001B7630">
        <w:rPr>
          <w:rFonts w:ascii="Cambria" w:hAnsi="Cambria"/>
          <w:sz w:val="24"/>
          <w:szCs w:val="24"/>
          <w:lang w:val="pt-BR"/>
        </w:rPr>
        <w:t xml:space="preserve"> analizirala </w:t>
      </w:r>
      <w:r>
        <w:rPr>
          <w:rFonts w:ascii="Cambria" w:hAnsi="Cambria"/>
          <w:sz w:val="24"/>
          <w:szCs w:val="24"/>
          <w:lang w:val="pl-PL"/>
        </w:rPr>
        <w:t>javnost rada Vlade Srbije i drugih institucija nad kojima Vlada vr</w:t>
      </w:r>
      <w:r w:rsidRPr="001B7630">
        <w:rPr>
          <w:rFonts w:ascii="Cambria" w:hAnsi="Cambria"/>
          <w:sz w:val="24"/>
          <w:szCs w:val="24"/>
          <w:lang w:val="pt-BR"/>
        </w:rPr>
        <w:t>š</w:t>
      </w:r>
      <w:r>
        <w:rPr>
          <w:rFonts w:ascii="Cambria" w:hAnsi="Cambria"/>
          <w:sz w:val="24"/>
          <w:szCs w:val="24"/>
          <w:lang w:val="pl-PL"/>
        </w:rPr>
        <w:t>i nadzor</w:t>
      </w:r>
      <w:r w:rsidRPr="001B7630">
        <w:rPr>
          <w:rFonts w:ascii="Cambria" w:hAnsi="Cambria"/>
          <w:sz w:val="24"/>
          <w:szCs w:val="24"/>
          <w:lang w:val="pt-BR"/>
        </w:rPr>
        <w:t xml:space="preserve">, </w:t>
      </w:r>
      <w:r>
        <w:rPr>
          <w:rFonts w:ascii="Cambria" w:hAnsi="Cambria"/>
          <w:sz w:val="24"/>
          <w:szCs w:val="24"/>
          <w:lang w:val="pl-PL"/>
        </w:rPr>
        <w:t>odnosno kako je u praksi primenjen taj javno proklamovani antikorupcijski cilj</w:t>
      </w:r>
      <w:r w:rsidRPr="001B7630">
        <w:rPr>
          <w:rFonts w:ascii="Cambria" w:hAnsi="Cambria"/>
          <w:sz w:val="24"/>
          <w:szCs w:val="24"/>
          <w:lang w:val="pt-BR"/>
        </w:rPr>
        <w:t xml:space="preserve">. Iako predstavnici Vlade Srbije u javnim nastupima naglašavaju značaj borbe protiv korupcije i redovno ukazuju na rezultate represivnog delovanja policije i tužilaštva  u toj oblasti,  ne čine dovoljno u oblasti sprečavanja korupcije, odnosno na uspostavljanju i primeni preventivnih mehanizama. U proteklih godinu dana su načinjene neke pozitivne promene na normativnom nivou – nova antikorupcijska strategija i akcioni plan, izmene Poslovnika Vlade, novi zakoni o javnim nabavkama i javnim preduzećima. Međutim, i u tim i u mnogim drugim propisima još uvek postoji mnogo „zakonskih rupa“ koje ostavljaju prostor za razvoj korupcije. Još lošije je stanje u primeni propisa. </w:t>
      </w:r>
    </w:p>
    <w:p w:rsidR="001B7630" w:rsidRPr="001B7630" w:rsidRDefault="001B7630" w:rsidP="001B7630">
      <w:pPr>
        <w:jc w:val="both"/>
        <w:rPr>
          <w:rFonts w:ascii="Cambria" w:hAnsi="Cambria"/>
          <w:sz w:val="24"/>
          <w:szCs w:val="24"/>
          <w:lang w:val="pt-BR"/>
        </w:rPr>
      </w:pPr>
    </w:p>
    <w:p w:rsidR="001B7630" w:rsidRPr="00275537" w:rsidRDefault="001B7630" w:rsidP="001B7630">
      <w:pPr>
        <w:jc w:val="both"/>
        <w:rPr>
          <w:rFonts w:ascii="Cambria" w:hAnsi="Cambria"/>
          <w:b/>
          <w:sz w:val="24"/>
          <w:szCs w:val="24"/>
          <w:lang w:val="es-ES"/>
        </w:rPr>
      </w:pPr>
      <w:r w:rsidRPr="001B7630">
        <w:rPr>
          <w:rFonts w:ascii="Cambria" w:hAnsi="Cambria"/>
          <w:sz w:val="24"/>
          <w:szCs w:val="24"/>
          <w:lang w:val="pt-BR"/>
        </w:rPr>
        <w:t xml:space="preserve">Jedno od najvažnijih antikorupcijskih načela, i jedan od najpouzdanijih mehanizama za sprečavanje korupcije – </w:t>
      </w:r>
      <w:r w:rsidRPr="001B7630">
        <w:rPr>
          <w:rFonts w:ascii="Cambria" w:hAnsi="Cambria"/>
          <w:b/>
          <w:sz w:val="24"/>
          <w:szCs w:val="24"/>
          <w:lang w:val="pt-BR"/>
        </w:rPr>
        <w:t>javnost rada</w:t>
      </w:r>
      <w:r w:rsidRPr="001B7630">
        <w:rPr>
          <w:rFonts w:ascii="Cambria" w:hAnsi="Cambria"/>
          <w:sz w:val="24"/>
          <w:szCs w:val="24"/>
          <w:lang w:val="pt-BR"/>
        </w:rPr>
        <w:t xml:space="preserve"> - posebno je zanemaren. I pored obećanja, datog još u koalicionom sporazumu, </w:t>
      </w:r>
      <w:r w:rsidRPr="001B7630">
        <w:rPr>
          <w:rFonts w:ascii="Cambria" w:hAnsi="Cambria"/>
          <w:b/>
          <w:sz w:val="24"/>
          <w:szCs w:val="24"/>
          <w:lang w:val="pt-BR"/>
        </w:rPr>
        <w:t>aktuelna Vlada je nastavila lošu praksu prethodnika</w:t>
      </w:r>
      <w:r w:rsidRPr="001B7630">
        <w:rPr>
          <w:rFonts w:ascii="Cambria" w:hAnsi="Cambria"/>
          <w:sz w:val="24"/>
          <w:szCs w:val="24"/>
          <w:lang w:val="pt-BR"/>
        </w:rPr>
        <w:t xml:space="preserve"> u oblastima kao što su </w:t>
      </w:r>
      <w:r w:rsidRPr="001B7630">
        <w:rPr>
          <w:rFonts w:ascii="Cambria" w:hAnsi="Cambria"/>
          <w:b/>
          <w:sz w:val="24"/>
          <w:szCs w:val="24"/>
          <w:lang w:val="pt-BR"/>
        </w:rPr>
        <w:t>neobjavljivanje sporazuma i ugovora koje potpisuje, tajnosti sednica, neobjavljivanja važnih zaključaka, postavljanja na položaje bez konkursa i neoglašavanja javnih rasprava</w:t>
      </w:r>
      <w:r w:rsidRPr="001B7630">
        <w:rPr>
          <w:rFonts w:ascii="Cambria" w:hAnsi="Cambria"/>
          <w:sz w:val="24"/>
          <w:szCs w:val="24"/>
          <w:lang w:val="pt-BR"/>
        </w:rPr>
        <w:t xml:space="preserve">. </w:t>
      </w:r>
      <w:r w:rsidRPr="00275537">
        <w:rPr>
          <w:rFonts w:ascii="Cambria" w:hAnsi="Cambria"/>
          <w:sz w:val="24"/>
          <w:szCs w:val="24"/>
          <w:lang w:val="es-ES"/>
        </w:rPr>
        <w:t xml:space="preserve">U primeni Zakona o javnim preduzećima, koji je trebalo da donese obećanu profesionalizaciju i depolitizaciju JP, Vlada nije ispunila preuzete obaveze. </w:t>
      </w:r>
      <w:r w:rsidRPr="00275537">
        <w:rPr>
          <w:rFonts w:ascii="Cambria" w:hAnsi="Cambria"/>
          <w:b/>
          <w:sz w:val="24"/>
          <w:szCs w:val="24"/>
          <w:lang w:val="es-ES"/>
        </w:rPr>
        <w:t xml:space="preserve">Iako transparentnost zauzima bitno mesto i u antikorupcijskoj strategiji i u ekspozeu premijera, konkretni mehanizmi za postizanje ovog cilja nisu dovoljno razvijeni. </w:t>
      </w:r>
    </w:p>
    <w:p w:rsidR="001B7630" w:rsidRPr="00275537" w:rsidRDefault="001B7630" w:rsidP="001B7630">
      <w:pPr>
        <w:jc w:val="both"/>
        <w:rPr>
          <w:rFonts w:ascii="Cambria" w:hAnsi="Cambria"/>
          <w:sz w:val="24"/>
          <w:szCs w:val="24"/>
          <w:lang w:val="es-ES"/>
        </w:rPr>
      </w:pPr>
    </w:p>
    <w:p w:rsidR="001B7630" w:rsidRDefault="001B7630" w:rsidP="001B7630">
      <w:pPr>
        <w:jc w:val="both"/>
        <w:rPr>
          <w:rFonts w:ascii="Cambria" w:hAnsi="Cambria"/>
          <w:sz w:val="24"/>
          <w:szCs w:val="24"/>
          <w:lang w:val="pl-PL"/>
        </w:rPr>
      </w:pPr>
      <w:r w:rsidRPr="00275537">
        <w:rPr>
          <w:rFonts w:ascii="Cambria" w:hAnsi="Cambria"/>
          <w:sz w:val="24"/>
          <w:szCs w:val="24"/>
          <w:lang w:val="es-ES"/>
        </w:rPr>
        <w:t xml:space="preserve">Odredbe novog </w:t>
      </w:r>
      <w:r w:rsidRPr="00275537">
        <w:rPr>
          <w:rFonts w:ascii="Cambria" w:hAnsi="Cambria"/>
          <w:b/>
          <w:sz w:val="24"/>
          <w:szCs w:val="24"/>
          <w:lang w:val="es-ES"/>
        </w:rPr>
        <w:t xml:space="preserve">Zakona o javnim preduzećima, </w:t>
      </w:r>
      <w:r w:rsidRPr="00275537">
        <w:rPr>
          <w:rFonts w:ascii="Cambria" w:hAnsi="Cambria"/>
          <w:sz w:val="24"/>
          <w:szCs w:val="24"/>
          <w:lang w:val="es-ES"/>
        </w:rPr>
        <w:t>koje treba da obezbede veću profesionalizaciju upravljanja, javnost rada i odgovornost su masovno kršene. Ni u jednom od 17 posmatranih JP osnivački akti nisu usklađeni u roku (do 25. februara 2013. godine), a do 3. septembra to je učinjeno u 12 slučajeva</w:t>
      </w:r>
      <w:r w:rsidRPr="00275537">
        <w:rPr>
          <w:rFonts w:ascii="Cambria" w:hAnsi="Cambria"/>
          <w:b/>
          <w:sz w:val="24"/>
          <w:szCs w:val="24"/>
          <w:lang w:val="es-ES"/>
        </w:rPr>
        <w:t xml:space="preserve">. </w:t>
      </w:r>
      <w:r w:rsidRPr="00275537">
        <w:rPr>
          <w:rFonts w:ascii="Cambria" w:hAnsi="Cambria"/>
          <w:sz w:val="24"/>
          <w:szCs w:val="24"/>
          <w:lang w:val="es-ES"/>
        </w:rPr>
        <w:t xml:space="preserve">Samo u jednom JP su nakon toga izmenjeni interni opšti akti. </w:t>
      </w:r>
      <w:r w:rsidRPr="00275537">
        <w:rPr>
          <w:rFonts w:ascii="Cambria" w:hAnsi="Cambria"/>
          <w:b/>
          <w:sz w:val="24"/>
          <w:szCs w:val="24"/>
          <w:lang w:val="es-ES"/>
        </w:rPr>
        <w:t xml:space="preserve"> </w:t>
      </w:r>
      <w:r w:rsidRPr="00275537">
        <w:rPr>
          <w:rFonts w:ascii="Cambria" w:hAnsi="Cambria"/>
          <w:sz w:val="24"/>
          <w:szCs w:val="24"/>
          <w:lang w:val="es-ES"/>
        </w:rPr>
        <w:t xml:space="preserve">Nadzorni odbor na osnovu novog Zakona je formiran u samo 2 od 17 JP, pa i tu uz kršenje normi. U međuvremenu, Vlada je masovno menjala članove starih Upravnih odbora JP. </w:t>
      </w:r>
      <w:r>
        <w:rPr>
          <w:rFonts w:ascii="Cambria" w:hAnsi="Cambria"/>
          <w:sz w:val="24"/>
          <w:szCs w:val="24"/>
          <w:lang w:val="pl-PL"/>
        </w:rPr>
        <w:t>Zakon je predvideo i da se konkursi za direktore u svim javnim preduze</w:t>
      </w:r>
      <w:r w:rsidRPr="00275537">
        <w:rPr>
          <w:rFonts w:ascii="Cambria" w:hAnsi="Cambria"/>
          <w:sz w:val="24"/>
          <w:szCs w:val="24"/>
          <w:lang w:val="es-ES"/>
        </w:rPr>
        <w:t>ć</w:t>
      </w:r>
      <w:r>
        <w:rPr>
          <w:rFonts w:ascii="Cambria" w:hAnsi="Cambria"/>
          <w:sz w:val="24"/>
          <w:szCs w:val="24"/>
          <w:lang w:val="pl-PL"/>
        </w:rPr>
        <w:t xml:space="preserve">ima na koje se primenjuje novi zakon budu raspisani </w:t>
      </w:r>
      <w:r>
        <w:rPr>
          <w:rFonts w:ascii="Cambria" w:hAnsi="Cambria"/>
          <w:b/>
          <w:sz w:val="24"/>
          <w:szCs w:val="24"/>
          <w:lang w:val="pl-PL"/>
        </w:rPr>
        <w:t>najkasnije do</w:t>
      </w:r>
      <w:r w:rsidRPr="00275537">
        <w:rPr>
          <w:rFonts w:ascii="Cambria" w:hAnsi="Cambria"/>
          <w:b/>
          <w:sz w:val="24"/>
          <w:szCs w:val="24"/>
          <w:lang w:val="es-ES"/>
        </w:rPr>
        <w:t xml:space="preserve"> 30. </w:t>
      </w:r>
      <w:r>
        <w:rPr>
          <w:rFonts w:ascii="Cambria" w:hAnsi="Cambria"/>
          <w:b/>
          <w:sz w:val="24"/>
          <w:szCs w:val="24"/>
          <w:lang w:val="pl-PL"/>
        </w:rPr>
        <w:t>juna</w:t>
      </w:r>
      <w:r w:rsidRPr="00275537">
        <w:rPr>
          <w:rFonts w:ascii="Cambria" w:hAnsi="Cambria"/>
          <w:b/>
          <w:sz w:val="24"/>
          <w:szCs w:val="24"/>
          <w:lang w:val="es-ES"/>
        </w:rPr>
        <w:t xml:space="preserve"> 2013. </w:t>
      </w:r>
      <w:r>
        <w:rPr>
          <w:rFonts w:ascii="Cambria" w:hAnsi="Cambria"/>
          <w:b/>
          <w:sz w:val="24"/>
          <w:szCs w:val="24"/>
          <w:lang w:val="pl-PL"/>
        </w:rPr>
        <w:t>godine</w:t>
      </w:r>
      <w:r w:rsidRPr="00275537">
        <w:rPr>
          <w:rFonts w:ascii="Cambria" w:hAnsi="Cambria"/>
          <w:sz w:val="24"/>
          <w:szCs w:val="24"/>
          <w:lang w:val="es-ES"/>
        </w:rPr>
        <w:t xml:space="preserve">. </w:t>
      </w:r>
      <w:r>
        <w:rPr>
          <w:rFonts w:ascii="Cambria" w:hAnsi="Cambria"/>
          <w:b/>
          <w:sz w:val="24"/>
          <w:szCs w:val="24"/>
          <w:lang w:val="pl-PL"/>
        </w:rPr>
        <w:t>Vlada je do isteka zakonskog roka, 30. juna, od posmatranih 17 JP, raspisala konkurse za izbor direktora u samo dva preduzeća</w:t>
      </w:r>
      <w:r>
        <w:rPr>
          <w:rFonts w:ascii="Cambria" w:hAnsi="Cambria"/>
          <w:sz w:val="24"/>
          <w:szCs w:val="24"/>
          <w:lang w:val="pl-PL"/>
        </w:rPr>
        <w:t xml:space="preserve"> – Elektroprivredi Srbije, a po isteku roka u još sedam. </w:t>
      </w:r>
      <w:r>
        <w:rPr>
          <w:rFonts w:ascii="Cambria" w:hAnsi="Cambria"/>
          <w:b/>
          <w:sz w:val="24"/>
          <w:szCs w:val="24"/>
          <w:lang w:val="pl-PL"/>
        </w:rPr>
        <w:t>Zaključno sa 6. septembrom 2013. godine, od posmatranih 17 preduzeća, odnosno devet za koje je raspisan konkurs za izbor direktora, imenovan je peti član Komisije za imenovanja u samo četiri</w:t>
      </w:r>
      <w:r>
        <w:rPr>
          <w:rFonts w:ascii="Cambria" w:hAnsi="Cambria"/>
          <w:sz w:val="24"/>
          <w:szCs w:val="24"/>
          <w:lang w:val="pl-PL"/>
        </w:rPr>
        <w:t xml:space="preserve">. </w:t>
      </w:r>
    </w:p>
    <w:p w:rsidR="001B7630" w:rsidRDefault="001B7630" w:rsidP="001B7630">
      <w:pPr>
        <w:jc w:val="both"/>
        <w:rPr>
          <w:rFonts w:ascii="Cambria" w:hAnsi="Cambria"/>
          <w:sz w:val="24"/>
          <w:szCs w:val="24"/>
          <w:lang w:val="pl-PL"/>
        </w:rPr>
      </w:pPr>
    </w:p>
    <w:p w:rsidR="001B7630" w:rsidRDefault="001B7630" w:rsidP="001B7630">
      <w:pPr>
        <w:jc w:val="both"/>
        <w:rPr>
          <w:rFonts w:ascii="Cambria" w:hAnsi="Cambria"/>
          <w:color w:val="333333"/>
          <w:sz w:val="24"/>
          <w:szCs w:val="24"/>
          <w:lang w:val="pt-BR"/>
        </w:rPr>
      </w:pPr>
      <w:r>
        <w:rPr>
          <w:rFonts w:ascii="Cambria" w:hAnsi="Cambria"/>
          <w:b/>
          <w:color w:val="333333"/>
          <w:sz w:val="24"/>
          <w:szCs w:val="24"/>
          <w:lang w:val="pt-BR"/>
        </w:rPr>
        <w:lastRenderedPageBreak/>
        <w:t xml:space="preserve">Masovno je kršena i odredba o objavljivanju programa rada JP. </w:t>
      </w:r>
      <w:r>
        <w:rPr>
          <w:rFonts w:ascii="Cambria" w:hAnsi="Cambria"/>
          <w:color w:val="333333"/>
          <w:sz w:val="24"/>
          <w:szCs w:val="24"/>
          <w:lang w:val="pt-BR"/>
        </w:rPr>
        <w:t>Od 17. posmatranih JP, program rada za 2013. godinu</w:t>
      </w:r>
      <w:r>
        <w:rPr>
          <w:rFonts w:ascii="Cambria" w:hAnsi="Cambria"/>
          <w:b/>
          <w:color w:val="333333"/>
          <w:sz w:val="24"/>
          <w:szCs w:val="24"/>
          <w:lang w:val="pt-BR"/>
        </w:rPr>
        <w:t xml:space="preserve"> pronašli smo na internet prezentacijama pet preduzeća, izveštaj nezavisnog revizora za 2012. godinu objavilo je pet JP, </w:t>
      </w:r>
      <w:r>
        <w:rPr>
          <w:rFonts w:ascii="Cambria" w:hAnsi="Cambria"/>
          <w:color w:val="333333"/>
          <w:sz w:val="24"/>
          <w:szCs w:val="24"/>
          <w:lang w:val="pt-BR"/>
        </w:rPr>
        <w:t xml:space="preserve">a </w:t>
      </w:r>
      <w:r>
        <w:rPr>
          <w:rFonts w:ascii="Cambria" w:hAnsi="Cambria"/>
          <w:b/>
          <w:color w:val="333333"/>
          <w:sz w:val="24"/>
          <w:szCs w:val="24"/>
          <w:lang w:val="pt-BR"/>
        </w:rPr>
        <w:t xml:space="preserve">izveštaj o poslovanju objavila su tri JP. </w:t>
      </w:r>
      <w:r>
        <w:rPr>
          <w:rFonts w:ascii="Cambria" w:hAnsi="Cambria"/>
          <w:color w:val="333333"/>
          <w:sz w:val="24"/>
          <w:szCs w:val="24"/>
          <w:lang w:val="pt-BR"/>
        </w:rPr>
        <w:t xml:space="preserve">Obaveštenje o tome da li su dostavljeni izveštaji o poslovanju za prva dva tromesečja 2013. dobili smo za 9 JP. Posebno je zabrinjavajuće to što je od 17 posmatranih, samo jedno JP usvojilo godišnji program na vreme, a u 14 slučajeva je to učinjeno između januara i jula tekuće godine. </w:t>
      </w:r>
    </w:p>
    <w:p w:rsidR="001B7630" w:rsidRDefault="001B7630" w:rsidP="001B7630">
      <w:pPr>
        <w:jc w:val="both"/>
        <w:rPr>
          <w:rFonts w:ascii="Cambria" w:hAnsi="Cambria"/>
          <w:color w:val="333333"/>
          <w:sz w:val="24"/>
          <w:szCs w:val="24"/>
          <w:lang w:val="pt-BR"/>
        </w:rPr>
      </w:pPr>
    </w:p>
    <w:p w:rsidR="001B7630" w:rsidRPr="00275537" w:rsidRDefault="001B7630" w:rsidP="001B7630">
      <w:pPr>
        <w:jc w:val="both"/>
        <w:rPr>
          <w:rFonts w:ascii="Cambria" w:hAnsi="Cambria"/>
          <w:b/>
          <w:sz w:val="24"/>
          <w:szCs w:val="24"/>
          <w:lang w:val="pt-BR"/>
        </w:rPr>
      </w:pPr>
    </w:p>
    <w:p w:rsidR="001B7630" w:rsidRDefault="001B7630" w:rsidP="001B7630">
      <w:pPr>
        <w:jc w:val="both"/>
        <w:rPr>
          <w:rFonts w:ascii="Cambria" w:hAnsi="Cambria"/>
          <w:sz w:val="24"/>
          <w:szCs w:val="24"/>
          <w:lang w:val="sr-Latn-CS"/>
        </w:rPr>
      </w:pPr>
      <w:r w:rsidRPr="00275537">
        <w:rPr>
          <w:rFonts w:ascii="Cambria" w:hAnsi="Cambria"/>
          <w:b/>
          <w:sz w:val="24"/>
          <w:szCs w:val="24"/>
          <w:lang w:val="es-ES"/>
        </w:rPr>
        <w:t xml:space="preserve">U pogledu javnosti budžetskih informacija nema većih promena. </w:t>
      </w:r>
      <w:r w:rsidRPr="00275537">
        <w:rPr>
          <w:rFonts w:ascii="Cambria" w:hAnsi="Cambria"/>
          <w:sz w:val="24"/>
          <w:szCs w:val="24"/>
          <w:lang w:val="es-ES"/>
        </w:rPr>
        <w:t xml:space="preserve">Bilten javnih finansija sadrži neophodne podatke, ali se ne objavljuje redovno (do 26. juna je bio poslednji objavljen bilten za januar, a nedavno je objavljen julski). </w:t>
      </w:r>
      <w:r>
        <w:rPr>
          <w:rFonts w:ascii="Cambria" w:hAnsi="Cambria"/>
          <w:b/>
          <w:sz w:val="24"/>
          <w:szCs w:val="24"/>
          <w:lang w:val="sr-Latn-CS"/>
        </w:rPr>
        <w:t>Nacrt zakona o završnom računu budžeta za 2012. godinu</w:t>
      </w:r>
      <w:r>
        <w:rPr>
          <w:rFonts w:ascii="Cambria" w:hAnsi="Cambria"/>
          <w:sz w:val="24"/>
          <w:szCs w:val="24"/>
          <w:lang w:val="sr-Latn-CS"/>
        </w:rPr>
        <w:t xml:space="preserve"> i dalje nije završen, iako je rok za izradu propisan Zakonom o budžetskom sistemu 20. jun, a rok za dostavljanje parlamentu Predloga zakona o završnom računu budžeta 15. jul. </w:t>
      </w:r>
      <w:r>
        <w:rPr>
          <w:rFonts w:ascii="Cambria" w:hAnsi="Cambria"/>
          <w:b/>
          <w:sz w:val="24"/>
          <w:szCs w:val="24"/>
          <w:lang w:val="sr-Latn-CS"/>
        </w:rPr>
        <w:t>Fiskalna strategija takođe kasni više od četiri meseca</w:t>
      </w:r>
      <w:r>
        <w:rPr>
          <w:rFonts w:ascii="Cambria" w:hAnsi="Cambria"/>
          <w:sz w:val="24"/>
          <w:szCs w:val="24"/>
          <w:lang w:val="sr-Latn-CS"/>
        </w:rPr>
        <w:t xml:space="preserve">. </w:t>
      </w:r>
    </w:p>
    <w:p w:rsidR="001B7630" w:rsidRDefault="001B7630" w:rsidP="001B7630">
      <w:pPr>
        <w:jc w:val="both"/>
        <w:rPr>
          <w:rFonts w:ascii="Cambria" w:hAnsi="Cambria"/>
          <w:sz w:val="24"/>
          <w:szCs w:val="24"/>
          <w:lang w:val="sr-Latn-CS"/>
        </w:rPr>
      </w:pPr>
    </w:p>
    <w:p w:rsidR="001B7630" w:rsidRDefault="001B7630" w:rsidP="001B7630">
      <w:pPr>
        <w:jc w:val="both"/>
        <w:rPr>
          <w:rFonts w:ascii="Cambria" w:hAnsi="Cambria"/>
          <w:sz w:val="24"/>
          <w:szCs w:val="24"/>
          <w:lang w:val="sr-Latn-CS"/>
        </w:rPr>
      </w:pPr>
      <w:r w:rsidRPr="00275537">
        <w:rPr>
          <w:rFonts w:ascii="Cambria" w:hAnsi="Cambria"/>
          <w:b/>
          <w:sz w:val="24"/>
          <w:szCs w:val="24"/>
          <w:lang w:val="sr-Latn-CS"/>
        </w:rPr>
        <w:t xml:space="preserve">Zakon o javnim nabavkama, </w:t>
      </w:r>
      <w:r w:rsidRPr="00275537">
        <w:rPr>
          <w:rFonts w:ascii="Cambria" w:hAnsi="Cambria"/>
          <w:sz w:val="24"/>
          <w:szCs w:val="24"/>
          <w:lang w:val="sr-Latn-CS"/>
        </w:rPr>
        <w:t>č</w:t>
      </w:r>
      <w:r>
        <w:rPr>
          <w:rFonts w:ascii="Cambria" w:hAnsi="Cambria"/>
          <w:bCs/>
          <w:iCs/>
          <w:sz w:val="24"/>
          <w:szCs w:val="24"/>
          <w:lang w:val="sr-Latn-CS"/>
        </w:rPr>
        <w:t>ije je usvajanje bilo jedno od glavnih predizbornih obe</w:t>
      </w:r>
      <w:r w:rsidRPr="00275537">
        <w:rPr>
          <w:rFonts w:ascii="Cambria" w:hAnsi="Cambria"/>
          <w:bCs/>
          <w:iCs/>
          <w:sz w:val="24"/>
          <w:szCs w:val="24"/>
          <w:lang w:val="sr-Latn-CS"/>
        </w:rPr>
        <w:t>ć</w:t>
      </w:r>
      <w:r>
        <w:rPr>
          <w:rFonts w:ascii="Cambria" w:hAnsi="Cambria"/>
          <w:bCs/>
          <w:iCs/>
          <w:sz w:val="24"/>
          <w:szCs w:val="24"/>
          <w:lang w:val="sr-Latn-CS"/>
        </w:rPr>
        <w:t>anja vladaju</w:t>
      </w:r>
      <w:r w:rsidRPr="00275537">
        <w:rPr>
          <w:rFonts w:ascii="Cambria" w:hAnsi="Cambria"/>
          <w:bCs/>
          <w:iCs/>
          <w:sz w:val="24"/>
          <w:szCs w:val="24"/>
          <w:lang w:val="sr-Latn-CS"/>
        </w:rPr>
        <w:t>ć</w:t>
      </w:r>
      <w:r>
        <w:rPr>
          <w:rFonts w:ascii="Cambria" w:hAnsi="Cambria"/>
          <w:bCs/>
          <w:iCs/>
          <w:sz w:val="24"/>
          <w:szCs w:val="24"/>
          <w:lang w:val="sr-Latn-CS"/>
        </w:rPr>
        <w:t>e koalicije</w:t>
      </w:r>
      <w:r w:rsidRPr="00275537">
        <w:rPr>
          <w:rFonts w:ascii="Cambria" w:hAnsi="Cambria"/>
          <w:bCs/>
          <w:iCs/>
          <w:sz w:val="24"/>
          <w:szCs w:val="24"/>
          <w:lang w:val="sr-Latn-CS"/>
        </w:rPr>
        <w:t xml:space="preserve">, počeo je da se primenjuje 1. </w:t>
      </w:r>
      <w:r>
        <w:rPr>
          <w:rFonts w:ascii="Cambria" w:hAnsi="Cambria"/>
          <w:bCs/>
          <w:iCs/>
          <w:sz w:val="24"/>
          <w:szCs w:val="24"/>
          <w:lang w:val="sr-Latn-CS"/>
        </w:rPr>
        <w:t>aprila</w:t>
      </w:r>
      <w:r w:rsidRPr="00275537">
        <w:rPr>
          <w:rFonts w:ascii="Cambria" w:hAnsi="Cambria"/>
          <w:bCs/>
          <w:iCs/>
          <w:sz w:val="24"/>
          <w:szCs w:val="24"/>
          <w:lang w:val="sr-Latn-CS"/>
        </w:rPr>
        <w:t xml:space="preserve"> 2013. </w:t>
      </w:r>
      <w:r>
        <w:rPr>
          <w:rFonts w:ascii="Cambria" w:hAnsi="Cambria"/>
          <w:bCs/>
          <w:iCs/>
          <w:sz w:val="24"/>
          <w:szCs w:val="24"/>
          <w:lang w:val="sr-Latn-CS"/>
        </w:rPr>
        <w:t>godine</w:t>
      </w:r>
      <w:r w:rsidRPr="00275537">
        <w:rPr>
          <w:rFonts w:ascii="Cambria" w:hAnsi="Cambria"/>
          <w:bCs/>
          <w:iCs/>
          <w:sz w:val="24"/>
          <w:szCs w:val="24"/>
          <w:lang w:val="sr-Latn-CS"/>
        </w:rPr>
        <w:t xml:space="preserve">. Sa stanovišta transparentnosti, zakon je doneo važne novine - na Portalu javnih nabavki objavljuju se svi oglasi, uključujući i one za male javne nabavke, a Uprava za javne nabavke proverava pregovaračke postupke i njihovu osnovanost, na osnovu podzakonskog akta koji propisuje šta mora da se dostavi da bi bili ispunjeni uslovi za sprovođenje pregovaračkog postupka. Prema dostupnim podacima, u prvoj polovini godine je značajno smanjen </w:t>
      </w:r>
      <w:r>
        <w:rPr>
          <w:rFonts w:ascii="Cambria" w:hAnsi="Cambria"/>
          <w:b/>
          <w:sz w:val="24"/>
          <w:szCs w:val="24"/>
          <w:lang w:val="pt-BR"/>
        </w:rPr>
        <w:t xml:space="preserve">obim netransparentnih </w:t>
      </w:r>
      <w:r>
        <w:rPr>
          <w:rFonts w:ascii="Cambria" w:hAnsi="Cambria"/>
          <w:sz w:val="24"/>
          <w:szCs w:val="24"/>
          <w:lang w:val="pt-BR"/>
        </w:rPr>
        <w:t xml:space="preserve">(pregovaračkih) </w:t>
      </w:r>
      <w:r>
        <w:rPr>
          <w:rFonts w:ascii="Cambria" w:hAnsi="Cambria"/>
          <w:b/>
          <w:sz w:val="24"/>
          <w:szCs w:val="24"/>
          <w:lang w:val="pt-BR"/>
        </w:rPr>
        <w:t>postupaka</w:t>
      </w:r>
      <w:r>
        <w:rPr>
          <w:rFonts w:ascii="Cambria" w:hAnsi="Cambria"/>
          <w:sz w:val="24"/>
          <w:szCs w:val="24"/>
          <w:lang w:val="pt-BR"/>
        </w:rPr>
        <w:t xml:space="preserve">, a bitno se povećao broj objavljenih </w:t>
      </w:r>
      <w:r>
        <w:rPr>
          <w:rFonts w:ascii="Cambria" w:hAnsi="Cambria"/>
          <w:b/>
          <w:sz w:val="24"/>
          <w:szCs w:val="24"/>
          <w:lang w:val="sr-Latn-CS"/>
        </w:rPr>
        <w:t>nabavki male vrednosti</w:t>
      </w:r>
      <w:r>
        <w:rPr>
          <w:rFonts w:ascii="Cambria" w:hAnsi="Cambria"/>
          <w:sz w:val="24"/>
          <w:szCs w:val="24"/>
          <w:lang w:val="sr-Latn-CS"/>
        </w:rPr>
        <w:t xml:space="preserve"> i poseta Portalu javnih nabavki. </w:t>
      </w:r>
    </w:p>
    <w:p w:rsidR="001B7630" w:rsidRPr="00275537" w:rsidRDefault="001B7630" w:rsidP="001B7630">
      <w:pPr>
        <w:rPr>
          <w:rFonts w:ascii="Cambria" w:hAnsi="Cambria"/>
          <w:b/>
          <w:sz w:val="24"/>
          <w:szCs w:val="24"/>
          <w:lang w:val="sr-Latn-CS"/>
        </w:rPr>
      </w:pPr>
    </w:p>
    <w:p w:rsidR="001B7630" w:rsidRDefault="001B7630" w:rsidP="001B7630">
      <w:pPr>
        <w:jc w:val="both"/>
        <w:rPr>
          <w:rFonts w:ascii="Cambria" w:hAnsi="Cambria"/>
          <w:sz w:val="24"/>
          <w:szCs w:val="24"/>
          <w:lang w:val="sr-Latn-CS"/>
        </w:rPr>
      </w:pPr>
      <w:r w:rsidRPr="00275537">
        <w:rPr>
          <w:rFonts w:ascii="Cambria" w:hAnsi="Cambria"/>
          <w:b/>
          <w:sz w:val="24"/>
          <w:szCs w:val="24"/>
          <w:lang w:val="es-ES"/>
        </w:rPr>
        <w:t xml:space="preserve">Za javne rasprave o propisima </w:t>
      </w:r>
      <w:r w:rsidRPr="00275537">
        <w:rPr>
          <w:rFonts w:ascii="Cambria" w:hAnsi="Cambria"/>
          <w:sz w:val="24"/>
          <w:szCs w:val="24"/>
          <w:lang w:val="es-ES"/>
        </w:rPr>
        <w:t xml:space="preserve">donete su bitne izmene </w:t>
      </w:r>
      <w:r>
        <w:rPr>
          <w:rFonts w:ascii="Cambria" w:hAnsi="Cambria"/>
          <w:b/>
          <w:sz w:val="24"/>
          <w:szCs w:val="24"/>
          <w:lang w:val="sr-Latn-CS"/>
        </w:rPr>
        <w:t xml:space="preserve">Poslovnika Vlade </w:t>
      </w:r>
      <w:r>
        <w:rPr>
          <w:rFonts w:ascii="Cambria" w:hAnsi="Cambria"/>
          <w:sz w:val="24"/>
          <w:szCs w:val="24"/>
          <w:lang w:val="sr-Latn-CS"/>
        </w:rPr>
        <w:t xml:space="preserve">u aprilu 2012. Ove izmene Poslovnika </w:t>
      </w:r>
      <w:r>
        <w:rPr>
          <w:rFonts w:ascii="Cambria" w:hAnsi="Cambria"/>
          <w:b/>
          <w:sz w:val="24"/>
          <w:szCs w:val="24"/>
          <w:lang w:val="sr-Latn-CS"/>
        </w:rPr>
        <w:t xml:space="preserve">nisu dovoljne da obezbede potrebni nivo transparentnosti i participativnosti zakonodavnog postupka, ali predstavljaju bitan napredak na tom putu. </w:t>
      </w:r>
      <w:r>
        <w:rPr>
          <w:rFonts w:ascii="Cambria" w:hAnsi="Cambria"/>
          <w:sz w:val="24"/>
          <w:szCs w:val="24"/>
          <w:lang w:val="sr-Latn-CS"/>
        </w:rPr>
        <w:t xml:space="preserve">Mnoga pitanja su ostala i dalje nerešena, poput </w:t>
      </w:r>
      <w:r>
        <w:rPr>
          <w:rFonts w:ascii="Cambria" w:hAnsi="Cambria"/>
          <w:b/>
          <w:sz w:val="24"/>
          <w:szCs w:val="24"/>
          <w:lang w:val="sr-Latn-CS"/>
        </w:rPr>
        <w:t>obaveze predlagača propisa da odgovori argumentovano na sve dobijene predloge i sugestije i objavi dobijene komentare i odgovore</w:t>
      </w:r>
      <w:r>
        <w:rPr>
          <w:rFonts w:ascii="Cambria" w:hAnsi="Cambria"/>
          <w:sz w:val="24"/>
          <w:szCs w:val="24"/>
          <w:lang w:val="sr-Latn-CS"/>
        </w:rPr>
        <w:t xml:space="preserve">. Analiza koju je TS uradila </w:t>
      </w:r>
      <w:r>
        <w:rPr>
          <w:rFonts w:ascii="Cambria" w:hAnsi="Cambria"/>
          <w:b/>
          <w:sz w:val="24"/>
          <w:szCs w:val="24"/>
          <w:lang w:val="sr-Latn-CS"/>
        </w:rPr>
        <w:t>pokazala je, međutim, da u praksi ni ovaj minimum nije poštovan</w:t>
      </w:r>
      <w:r>
        <w:rPr>
          <w:rFonts w:ascii="Cambria" w:hAnsi="Cambria"/>
          <w:sz w:val="24"/>
          <w:szCs w:val="24"/>
          <w:lang w:val="sr-Latn-CS"/>
        </w:rPr>
        <w:t xml:space="preserve">, da su gotovo sve odredbe o javnim raspravama kršene te da se uglavnom težilo da se ispuni forma i organizuju konferencije, okrugli stolovi i predstavljanja zakonskih tekstova koje su potom u obrazloženju propisa prikazane kao formalno ispunjenje obaveze. Na uzorku od 21 zakona, u obrazloženju piše da je javna rasprava organizovana za 9, a na portalu e-uprava su, iako je to obavezno, bile objavljene samo tri. </w:t>
      </w:r>
      <w:r>
        <w:rPr>
          <w:rFonts w:ascii="Cambria" w:hAnsi="Cambria"/>
          <w:b/>
          <w:sz w:val="24"/>
          <w:szCs w:val="24"/>
          <w:lang w:val="sr-Latn-CS"/>
        </w:rPr>
        <w:t xml:space="preserve">Posebno je zanimljiva činjenica da na ovom forumu nije oglašena ni rasprava o dva dokumenta koja se </w:t>
      </w:r>
      <w:r>
        <w:rPr>
          <w:rFonts w:ascii="Cambria" w:hAnsi="Cambria"/>
          <w:b/>
          <w:sz w:val="24"/>
          <w:szCs w:val="24"/>
          <w:lang w:val="sr-Latn-CS"/>
        </w:rPr>
        <w:lastRenderedPageBreak/>
        <w:t>bave pitanjem unapređenja javnih rasprava – Nacionalnoj strategiji za borbu protiv korupcije i Akcionom planu za njeno sprovođenje</w:t>
      </w:r>
      <w:r>
        <w:rPr>
          <w:rFonts w:ascii="Cambria" w:hAnsi="Cambria"/>
          <w:sz w:val="24"/>
          <w:szCs w:val="24"/>
          <w:lang w:val="sr-Latn-CS"/>
        </w:rPr>
        <w:t xml:space="preserve">. </w:t>
      </w:r>
    </w:p>
    <w:p w:rsidR="001B7630" w:rsidRDefault="001B7630" w:rsidP="001B7630">
      <w:pPr>
        <w:jc w:val="both"/>
        <w:rPr>
          <w:rFonts w:ascii="Cambria" w:hAnsi="Cambria"/>
          <w:sz w:val="24"/>
          <w:szCs w:val="24"/>
          <w:lang w:val="sr-Latn-CS"/>
        </w:rPr>
      </w:pPr>
    </w:p>
    <w:p w:rsidR="001B7630" w:rsidRDefault="001B7630" w:rsidP="001B7630">
      <w:pPr>
        <w:jc w:val="both"/>
        <w:rPr>
          <w:rFonts w:ascii="Cambria" w:hAnsi="Cambria"/>
          <w:sz w:val="24"/>
          <w:szCs w:val="24"/>
          <w:lang w:val="sr-Latn-CS"/>
        </w:rPr>
      </w:pPr>
      <w:r>
        <w:rPr>
          <w:rFonts w:ascii="Cambria" w:hAnsi="Cambria"/>
          <w:b/>
          <w:sz w:val="24"/>
          <w:szCs w:val="24"/>
          <w:lang w:val="sr-Latn-CS"/>
        </w:rPr>
        <w:t xml:space="preserve">Postavljenja i razrešenja službenika na položaju </w:t>
      </w:r>
      <w:r>
        <w:rPr>
          <w:rFonts w:ascii="Cambria" w:hAnsi="Cambria"/>
          <w:sz w:val="24"/>
          <w:szCs w:val="24"/>
          <w:lang w:val="sr-Latn-CS"/>
        </w:rPr>
        <w:t xml:space="preserve">su i dalje ozbiljan problem. Aktuelna Vlada je nastavila i proširila praksu prethodnika postavljanjem službenika na položaju bez konkursa. Ukupno je od početka mandata </w:t>
      </w:r>
      <w:r>
        <w:rPr>
          <w:rFonts w:ascii="Cambria" w:hAnsi="Cambria"/>
          <w:b/>
          <w:sz w:val="24"/>
          <w:szCs w:val="24"/>
          <w:lang w:val="sr-Latn-CS"/>
        </w:rPr>
        <w:t>aktuelne Vlade</w:t>
      </w:r>
      <w:r>
        <w:rPr>
          <w:rFonts w:ascii="Cambria" w:hAnsi="Cambria"/>
          <w:sz w:val="24"/>
          <w:szCs w:val="24"/>
          <w:lang w:val="sr-Latn-CS"/>
        </w:rPr>
        <w:t xml:space="preserve"> </w:t>
      </w:r>
      <w:r>
        <w:rPr>
          <w:rFonts w:ascii="Cambria" w:hAnsi="Cambria"/>
          <w:b/>
          <w:sz w:val="24"/>
          <w:szCs w:val="24"/>
          <w:lang w:val="sr-Latn-CS"/>
        </w:rPr>
        <w:t>postavljeno 187 službenika na položaje kršenjem zakona, odnosno na osnovu člana 179</w:t>
      </w:r>
      <w:r>
        <w:rPr>
          <w:rFonts w:ascii="Cambria" w:hAnsi="Cambria"/>
          <w:sz w:val="24"/>
          <w:szCs w:val="24"/>
          <w:lang w:val="sr-Latn-CS"/>
        </w:rPr>
        <w:t xml:space="preserve">, Zakona o državnim službenicima, koji ne bi trebalo da se primenjuje još od janaura 2011, dok su 32 (na računajući vršioce dužnosti) postavljeni na osnovu drugih odredbi, što ukazuje da je sproveden konkurs. </w:t>
      </w:r>
    </w:p>
    <w:p w:rsidR="001B7630" w:rsidRDefault="001B7630" w:rsidP="001B7630">
      <w:pPr>
        <w:jc w:val="both"/>
        <w:rPr>
          <w:rFonts w:ascii="Cambria" w:hAnsi="Cambria"/>
          <w:sz w:val="24"/>
          <w:szCs w:val="24"/>
          <w:lang w:val="sr-Latn-CS"/>
        </w:rPr>
      </w:pPr>
    </w:p>
    <w:p w:rsidR="001B7630" w:rsidRDefault="001B7630" w:rsidP="001B7630">
      <w:pPr>
        <w:jc w:val="both"/>
        <w:rPr>
          <w:rFonts w:ascii="Cambria" w:hAnsi="Cambria"/>
          <w:sz w:val="24"/>
          <w:szCs w:val="24"/>
          <w:lang w:val="sr-Latn-CS"/>
        </w:rPr>
      </w:pPr>
      <w:r>
        <w:rPr>
          <w:rFonts w:ascii="Cambria" w:hAnsi="Cambria"/>
          <w:b/>
          <w:sz w:val="24"/>
          <w:szCs w:val="24"/>
          <w:lang w:val="sr-Latn-CS"/>
        </w:rPr>
        <w:t xml:space="preserve">Informatori o radu </w:t>
      </w:r>
      <w:r>
        <w:rPr>
          <w:rFonts w:ascii="Cambria" w:hAnsi="Cambria"/>
          <w:sz w:val="24"/>
          <w:szCs w:val="24"/>
          <w:lang w:val="sr-Latn-CS"/>
        </w:rPr>
        <w:t xml:space="preserve">i dalje veoma često nisu sastavljeni i ažurirani u skladu sa obavezujućim Uputstvom Poverenika za informacije. Stanje za nijansu bolje nego ranije u pogledu ažuriranja informacijama o prihodima i rashodima ministarstava, dok je stanje kod javnih preduzeća i dalje veoma loše. Ovo je naročito zabrinjavajuće u kontekstu činjenice da su upravo u javnim preduzećima proteklih godina državni revizor i krivične istrage otrkile brojne propuste i zloupotrebe. Deo ovih problema bi mogao da se reši usvajanjem izmena i dopuna Zakona o slobodnom pristupu informacijama od javnog značaja, koje su pre više od godinu dana povučene iz skupštinske procedure i još uvek nisu vraćene. </w:t>
      </w:r>
    </w:p>
    <w:p w:rsidR="001B7630" w:rsidRDefault="001B7630" w:rsidP="001B7630">
      <w:pPr>
        <w:jc w:val="both"/>
        <w:rPr>
          <w:rFonts w:ascii="Cambria" w:hAnsi="Cambria"/>
          <w:sz w:val="24"/>
          <w:szCs w:val="24"/>
          <w:lang w:val="sr-Latn-CS"/>
        </w:rPr>
      </w:pPr>
    </w:p>
    <w:p w:rsidR="001B7630" w:rsidRDefault="001B7630" w:rsidP="001B7630">
      <w:pPr>
        <w:jc w:val="both"/>
        <w:rPr>
          <w:rFonts w:ascii="Cambria" w:hAnsi="Cambria"/>
          <w:sz w:val="24"/>
          <w:szCs w:val="24"/>
          <w:lang w:val="sr-Latn-CS"/>
        </w:rPr>
      </w:pPr>
      <w:r>
        <w:rPr>
          <w:rFonts w:ascii="Cambria" w:hAnsi="Cambria"/>
          <w:b/>
          <w:sz w:val="24"/>
          <w:szCs w:val="24"/>
          <w:lang w:val="sr-Latn-CS"/>
        </w:rPr>
        <w:t xml:space="preserve">Javnost sporazuma sa investitorima i investicionih odluka Vlade </w:t>
      </w:r>
      <w:r>
        <w:rPr>
          <w:rFonts w:ascii="Cambria" w:hAnsi="Cambria"/>
          <w:sz w:val="24"/>
          <w:szCs w:val="24"/>
          <w:lang w:val="sr-Latn-CS"/>
        </w:rPr>
        <w:t xml:space="preserve">predstavlja poseban problem. Ne samo da ne postoji praksa redovnog objavljivanja takvih sporazuma na sajtu Vlade, već se oni ne dostavljaju ni po zahtevima za pristup informacijama. Rizici od ove netransparentnosti su još veći zato što se kroz posebne aranžmane sa investitorima krše pravila koja su propisana za javne nabavke, javno-privatna partnerstva i prodaju javnih resursa. Jedan od </w:t>
      </w:r>
      <w:r>
        <w:rPr>
          <w:rFonts w:ascii="Cambria" w:hAnsi="Cambria"/>
          <w:b/>
          <w:sz w:val="24"/>
          <w:szCs w:val="24"/>
          <w:lang w:val="sr-Latn-CS"/>
        </w:rPr>
        <w:t>ciljeva antikorupcijske Strategije</w:t>
      </w:r>
      <w:r>
        <w:rPr>
          <w:rFonts w:ascii="Cambria" w:hAnsi="Cambria"/>
          <w:sz w:val="24"/>
          <w:szCs w:val="24"/>
          <w:lang w:val="sr-Latn-CS"/>
        </w:rPr>
        <w:t xml:space="preserve">, koji se odnosio na rešavanje ovog problema i koji se nalazio u prvom nacrtu ovog dokumenta, </w:t>
      </w:r>
      <w:r>
        <w:rPr>
          <w:rFonts w:ascii="Cambria" w:hAnsi="Cambria"/>
          <w:b/>
          <w:sz w:val="24"/>
          <w:szCs w:val="24"/>
          <w:lang w:val="sr-Latn-CS"/>
        </w:rPr>
        <w:t>izbrisan je iz završne verzije</w:t>
      </w:r>
      <w:r>
        <w:rPr>
          <w:rFonts w:ascii="Cambria" w:hAnsi="Cambria"/>
          <w:sz w:val="24"/>
          <w:szCs w:val="24"/>
          <w:lang w:val="sr-Latn-CS"/>
        </w:rPr>
        <w:t xml:space="preserve">. Jednako štetne efekte ima i neobjavljivanje zaključaka Vlade kao i donošenje zaključaka kojima se daje privilegovan tretman preduzećima ili se arbitrerno donose odluke u vezi sa njihovim podržavljenjem. </w:t>
      </w:r>
    </w:p>
    <w:p w:rsidR="001B7630" w:rsidRDefault="001B7630" w:rsidP="001B7630">
      <w:pPr>
        <w:pStyle w:val="Heading1"/>
        <w:rPr>
          <w:lang w:val="sr-Latn-CS"/>
        </w:rPr>
      </w:pPr>
    </w:p>
    <w:p w:rsidR="001B7630" w:rsidRDefault="001B7630" w:rsidP="001B7630">
      <w:pPr>
        <w:pStyle w:val="Heading1"/>
        <w:rPr>
          <w:lang w:val="sr-Latn-CS"/>
        </w:rPr>
      </w:pPr>
    </w:p>
    <w:p w:rsidR="001B7630" w:rsidRPr="001B7630" w:rsidRDefault="001B7630" w:rsidP="00BA15D5">
      <w:pPr>
        <w:jc w:val="center"/>
        <w:rPr>
          <w:rFonts w:asciiTheme="majorHAnsi" w:hAnsiTheme="majorHAnsi"/>
          <w:b/>
          <w:lang w:val="sr-Latn-CS"/>
        </w:rPr>
      </w:pPr>
    </w:p>
    <w:p w:rsidR="001B7630" w:rsidRDefault="001B7630" w:rsidP="00BA15D5">
      <w:pPr>
        <w:jc w:val="center"/>
        <w:rPr>
          <w:rFonts w:asciiTheme="majorHAnsi" w:hAnsiTheme="majorHAnsi"/>
          <w:b/>
          <w:lang w:val="pt-BR"/>
        </w:rPr>
      </w:pPr>
    </w:p>
    <w:p w:rsidR="001B7630" w:rsidRDefault="001B7630" w:rsidP="00BA15D5">
      <w:pPr>
        <w:jc w:val="center"/>
        <w:rPr>
          <w:rFonts w:asciiTheme="majorHAnsi" w:hAnsiTheme="majorHAnsi"/>
          <w:b/>
          <w:lang w:val="pt-BR"/>
        </w:rPr>
      </w:pPr>
    </w:p>
    <w:p w:rsidR="00BA15D5" w:rsidRPr="00BA15D5" w:rsidRDefault="00BA15D5" w:rsidP="00BA15D5">
      <w:pPr>
        <w:jc w:val="center"/>
        <w:rPr>
          <w:rFonts w:asciiTheme="majorHAnsi" w:hAnsiTheme="majorHAnsi"/>
          <w:b/>
          <w:lang w:val="pt-BR"/>
        </w:rPr>
      </w:pPr>
    </w:p>
    <w:sectPr w:rsidR="00BA15D5" w:rsidRPr="00BA15D5" w:rsidSect="00335464">
      <w:headerReference w:type="default" r:id="rId7"/>
      <w:footerReference w:type="default" r:id="rId8"/>
      <w:headerReference w:type="first" r:id="rId9"/>
      <w:footerReference w:type="first" r:id="rId10"/>
      <w:pgSz w:w="12240" w:h="15840"/>
      <w:pgMar w:top="1440" w:right="1800" w:bottom="1440" w:left="144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8D" w:rsidRDefault="0026368D">
      <w:r>
        <w:separator/>
      </w:r>
    </w:p>
  </w:endnote>
  <w:endnote w:type="continuationSeparator" w:id="1">
    <w:p w:rsidR="0026368D" w:rsidRDefault="0026368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D4" w:rsidRPr="005A4E20" w:rsidRDefault="00DB40D4" w:rsidP="00DB40D4">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je ovlašćeni zastupnik organizacije</w:t>
    </w:r>
  </w:p>
  <w:p w:rsidR="00DB40D4" w:rsidRPr="005A4E20" w:rsidRDefault="00DB40D4" w:rsidP="00DB40D4">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u Republici Srbiji</w:t>
    </w:r>
  </w:p>
  <w:p w:rsidR="00DB40D4" w:rsidRPr="003400D1" w:rsidRDefault="00DD4477" w:rsidP="00DB40D4">
    <w:pPr>
      <w:pStyle w:val="Footer"/>
      <w:jc w:val="center"/>
      <w:rPr>
        <w:lang w:val="es-ES"/>
      </w:rPr>
    </w:pPr>
    <w:hyperlink r:id="rId1" w:history="1">
      <w:r w:rsidR="00DB40D4" w:rsidRPr="00A5636A">
        <w:rPr>
          <w:rStyle w:val="Hyperlink"/>
          <w:rFonts w:ascii="Tahoma" w:hAnsi="Tahoma" w:cs="Tahoma"/>
          <w:sz w:val="18"/>
          <w:szCs w:val="18"/>
          <w:lang w:val="sr-Latn-CS"/>
        </w:rPr>
        <w:t>www.transparentnost.org.rs</w:t>
      </w:r>
    </w:hyperlink>
  </w:p>
  <w:p w:rsidR="00894B45" w:rsidRPr="003400D1" w:rsidRDefault="00894B45" w:rsidP="00B768EB">
    <w:pPr>
      <w:pStyle w:val="Footer"/>
      <w:tabs>
        <w:tab w:val="left" w:pos="2130"/>
      </w:tabs>
      <w:jc w:val="center"/>
      <w:rPr>
        <w:rFonts w:ascii="Arial" w:hAnsi="Arial" w:cs="Arial"/>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6A" w:rsidRPr="0091006A" w:rsidRDefault="0091006A" w:rsidP="0091006A">
    <w:pPr>
      <w:spacing w:line="360" w:lineRule="auto"/>
      <w:jc w:val="both"/>
      <w:rPr>
        <w:rFonts w:ascii="Cambria" w:hAnsi="Cambria"/>
      </w:rPr>
    </w:pPr>
    <w:r w:rsidRPr="0091006A">
      <w:rPr>
        <w:rFonts w:ascii="Cambria" w:hAnsi="Cambria"/>
        <w:lang w:val="pl-PL"/>
      </w:rPr>
      <w:t>Ovaj</w:t>
    </w:r>
    <w:r w:rsidRPr="0091006A">
      <w:rPr>
        <w:rFonts w:ascii="Cambria" w:hAnsi="Cambria"/>
      </w:rPr>
      <w:t xml:space="preserve"> </w:t>
    </w:r>
    <w:r w:rsidRPr="0091006A">
      <w:rPr>
        <w:rFonts w:ascii="Cambria" w:hAnsi="Cambria"/>
        <w:lang w:val="pl-PL"/>
      </w:rPr>
      <w:t>monitoring</w:t>
    </w:r>
    <w:r w:rsidRPr="0091006A">
      <w:rPr>
        <w:rFonts w:ascii="Cambria" w:hAnsi="Cambria"/>
      </w:rPr>
      <w:t xml:space="preserve"> </w:t>
    </w:r>
    <w:r w:rsidRPr="0091006A">
      <w:rPr>
        <w:rFonts w:ascii="Cambria" w:hAnsi="Cambria"/>
        <w:lang w:val="pl-PL"/>
      </w:rPr>
      <w:t>je</w:t>
    </w:r>
    <w:r w:rsidRPr="0091006A">
      <w:rPr>
        <w:rFonts w:ascii="Cambria" w:hAnsi="Cambria"/>
      </w:rPr>
      <w:t xml:space="preserve"> </w:t>
    </w:r>
    <w:r w:rsidRPr="0091006A">
      <w:rPr>
        <w:rFonts w:ascii="Cambria" w:hAnsi="Cambria"/>
        <w:lang w:val="pl-PL"/>
      </w:rPr>
      <w:t>organizovan</w:t>
    </w:r>
    <w:r w:rsidRPr="0091006A">
      <w:rPr>
        <w:rFonts w:ascii="Cambria" w:hAnsi="Cambria"/>
      </w:rPr>
      <w:t xml:space="preserve"> </w:t>
    </w:r>
    <w:r w:rsidRPr="0091006A">
      <w:rPr>
        <w:rFonts w:ascii="Cambria" w:hAnsi="Cambria"/>
        <w:lang w:val="pl-PL"/>
      </w:rPr>
      <w:t>u</w:t>
    </w:r>
    <w:r w:rsidRPr="0091006A">
      <w:rPr>
        <w:rFonts w:ascii="Cambria" w:hAnsi="Cambria"/>
      </w:rPr>
      <w:t xml:space="preserve"> </w:t>
    </w:r>
    <w:r w:rsidRPr="0091006A">
      <w:rPr>
        <w:rFonts w:ascii="Cambria" w:hAnsi="Cambria"/>
        <w:lang w:val="pl-PL"/>
      </w:rPr>
      <w:t>okviru</w:t>
    </w:r>
    <w:r w:rsidRPr="0091006A">
      <w:rPr>
        <w:rFonts w:ascii="Cambria" w:hAnsi="Cambria"/>
      </w:rPr>
      <w:t xml:space="preserve"> </w:t>
    </w:r>
    <w:r w:rsidRPr="0091006A">
      <w:rPr>
        <w:rFonts w:ascii="Cambria" w:hAnsi="Cambria"/>
        <w:lang w:val="pl-PL"/>
      </w:rPr>
      <w:t>projekta</w:t>
    </w:r>
    <w:r w:rsidRPr="0091006A">
      <w:rPr>
        <w:rFonts w:ascii="Cambria" w:hAnsi="Cambria"/>
      </w:rPr>
      <w:t xml:space="preserve"> „</w:t>
    </w:r>
    <w:r w:rsidRPr="0091006A">
      <w:rPr>
        <w:rFonts w:ascii="Cambria" w:hAnsi="Cambria"/>
        <w:lang w:val="pl-PL"/>
      </w:rPr>
      <w:t>Rizi</w:t>
    </w:r>
    <w:r w:rsidRPr="0091006A">
      <w:rPr>
        <w:rFonts w:ascii="Cambria" w:hAnsi="Cambria"/>
      </w:rPr>
      <w:t>č</w:t>
    </w:r>
    <w:r w:rsidRPr="0091006A">
      <w:rPr>
        <w:rFonts w:ascii="Cambria" w:hAnsi="Cambria"/>
        <w:lang w:val="pl-PL"/>
      </w:rPr>
      <w:t>ne</w:t>
    </w:r>
    <w:r w:rsidRPr="0091006A">
      <w:rPr>
        <w:rFonts w:ascii="Cambria" w:hAnsi="Cambria"/>
      </w:rPr>
      <w:t xml:space="preserve"> </w:t>
    </w:r>
    <w:r w:rsidRPr="0091006A">
      <w:rPr>
        <w:rFonts w:ascii="Cambria" w:hAnsi="Cambria"/>
        <w:lang w:val="pl-PL"/>
      </w:rPr>
      <w:t>ta</w:t>
    </w:r>
    <w:r w:rsidRPr="0091006A">
      <w:rPr>
        <w:rFonts w:ascii="Cambria" w:hAnsi="Cambria"/>
      </w:rPr>
      <w:t>č</w:t>
    </w:r>
    <w:r w:rsidRPr="0091006A">
      <w:rPr>
        <w:rFonts w:ascii="Cambria" w:hAnsi="Cambria"/>
        <w:lang w:val="pl-PL"/>
      </w:rPr>
      <w:t>ke</w:t>
    </w:r>
    <w:r w:rsidRPr="0091006A">
      <w:rPr>
        <w:rFonts w:ascii="Cambria" w:hAnsi="Cambria"/>
      </w:rPr>
      <w:t xml:space="preserve"> </w:t>
    </w:r>
    <w:r w:rsidRPr="0091006A">
      <w:rPr>
        <w:rFonts w:ascii="Cambria" w:hAnsi="Cambria"/>
        <w:lang w:val="pl-PL"/>
      </w:rPr>
      <w:t>korupcije</w:t>
    </w:r>
    <w:r w:rsidRPr="0091006A">
      <w:rPr>
        <w:rFonts w:ascii="Cambria" w:hAnsi="Cambria"/>
      </w:rPr>
      <w:t xml:space="preserve">” </w:t>
    </w:r>
    <w:r w:rsidRPr="0091006A">
      <w:rPr>
        <w:rFonts w:ascii="Cambria" w:hAnsi="Cambria"/>
        <w:lang w:val="pl-PL"/>
      </w:rPr>
      <w:t>koji</w:t>
    </w:r>
    <w:r w:rsidRPr="0091006A">
      <w:rPr>
        <w:rFonts w:ascii="Cambria" w:hAnsi="Cambria"/>
      </w:rPr>
      <w:t xml:space="preserve"> </w:t>
    </w:r>
    <w:r w:rsidRPr="0091006A">
      <w:rPr>
        <w:rFonts w:ascii="Cambria" w:hAnsi="Cambria"/>
        <w:lang w:val="pl-PL"/>
      </w:rPr>
      <w:t>je</w:t>
    </w:r>
    <w:r w:rsidRPr="0091006A">
      <w:rPr>
        <w:rFonts w:ascii="Cambria" w:hAnsi="Cambria"/>
      </w:rPr>
      <w:t xml:space="preserve"> </w:t>
    </w:r>
    <w:r w:rsidRPr="0091006A">
      <w:rPr>
        <w:rFonts w:ascii="Cambria" w:hAnsi="Cambria"/>
        <w:lang w:val="pl-PL"/>
      </w:rPr>
      <w:t>podr</w:t>
    </w:r>
    <w:r w:rsidRPr="0091006A">
      <w:rPr>
        <w:rFonts w:ascii="Cambria" w:hAnsi="Cambria"/>
      </w:rPr>
      <w:t>ž</w:t>
    </w:r>
    <w:r w:rsidRPr="0091006A">
      <w:rPr>
        <w:rFonts w:ascii="Cambria" w:hAnsi="Cambria"/>
        <w:lang w:val="pl-PL"/>
      </w:rPr>
      <w:t>an</w:t>
    </w:r>
    <w:r w:rsidRPr="0091006A">
      <w:rPr>
        <w:rFonts w:ascii="Cambria" w:hAnsi="Cambria"/>
      </w:rPr>
      <w:t xml:space="preserve"> </w:t>
    </w:r>
    <w:r w:rsidRPr="0091006A">
      <w:rPr>
        <w:rFonts w:ascii="Cambria" w:hAnsi="Cambria"/>
        <w:lang w:val="pl-PL"/>
      </w:rPr>
      <w:t>od</w:t>
    </w:r>
    <w:r w:rsidRPr="0091006A">
      <w:rPr>
        <w:rFonts w:ascii="Cambria" w:hAnsi="Cambria"/>
      </w:rPr>
      <w:t xml:space="preserve"> </w:t>
    </w:r>
    <w:r w:rsidRPr="0091006A">
      <w:rPr>
        <w:rFonts w:ascii="Cambria" w:hAnsi="Cambria"/>
        <w:lang w:val="pl-PL"/>
      </w:rPr>
      <w:t>strane</w:t>
    </w:r>
    <w:r w:rsidRPr="0091006A">
      <w:rPr>
        <w:rFonts w:ascii="Cambria" w:hAnsi="Cambria"/>
      </w:rPr>
      <w:t xml:space="preserve"> </w:t>
    </w:r>
    <w:r w:rsidRPr="0091006A">
      <w:rPr>
        <w:rFonts w:ascii="Cambria" w:hAnsi="Cambria"/>
        <w:lang w:val="pl-PL"/>
      </w:rPr>
      <w:t>fondacije</w:t>
    </w:r>
    <w:r w:rsidRPr="0091006A">
      <w:rPr>
        <w:rFonts w:ascii="Cambria" w:hAnsi="Cambria"/>
      </w:rPr>
      <w:t xml:space="preserve"> </w:t>
    </w:r>
    <w:r w:rsidRPr="0091006A">
      <w:rPr>
        <w:rFonts w:ascii="Cambria" w:hAnsi="Cambria"/>
        <w:lang w:val="pl-PL"/>
      </w:rPr>
      <w:t>Konrad</w:t>
    </w:r>
    <w:r w:rsidRPr="0091006A">
      <w:rPr>
        <w:rFonts w:ascii="Cambria" w:hAnsi="Cambria"/>
      </w:rPr>
      <w:t xml:space="preserve"> </w:t>
    </w:r>
    <w:r w:rsidRPr="0091006A">
      <w:rPr>
        <w:rFonts w:ascii="Cambria" w:hAnsi="Cambria"/>
        <w:lang w:val="pl-PL"/>
      </w:rPr>
      <w:t>Adenauer</w:t>
    </w:r>
    <w:r w:rsidRPr="0091006A">
      <w:rPr>
        <w:rFonts w:ascii="Cambria" w:hAnsi="Cambria"/>
      </w:rPr>
      <w:t xml:space="preserve"> (</w:t>
    </w:r>
    <w:r w:rsidRPr="0091006A">
      <w:rPr>
        <w:rFonts w:ascii="Cambria" w:hAnsi="Cambria"/>
        <w:lang w:val="pl-PL"/>
      </w:rPr>
      <w:t>KAS</w:t>
    </w:r>
    <w:r w:rsidRPr="0091006A">
      <w:rPr>
        <w:rFonts w:ascii="Cambria" w:hAnsi="Cambria"/>
      </w:rPr>
      <w:t xml:space="preserve">). </w:t>
    </w:r>
    <w:r w:rsidRPr="0091006A">
      <w:rPr>
        <w:rFonts w:ascii="Cambria" w:hAnsi="Cambria"/>
        <w:lang w:val="pl-PL"/>
      </w:rPr>
      <w:t>Izlo</w:t>
    </w:r>
    <w:r w:rsidRPr="0091006A">
      <w:rPr>
        <w:rFonts w:ascii="Cambria" w:hAnsi="Cambria"/>
      </w:rPr>
      <w:t>ž</w:t>
    </w:r>
    <w:r w:rsidRPr="0091006A">
      <w:rPr>
        <w:rFonts w:ascii="Cambria" w:hAnsi="Cambria"/>
        <w:lang w:val="pl-PL"/>
      </w:rPr>
      <w:t>eni</w:t>
    </w:r>
    <w:r w:rsidRPr="0091006A">
      <w:rPr>
        <w:rFonts w:ascii="Cambria" w:hAnsi="Cambria"/>
      </w:rPr>
      <w:t xml:space="preserve"> </w:t>
    </w:r>
    <w:r w:rsidRPr="0091006A">
      <w:rPr>
        <w:rFonts w:ascii="Cambria" w:hAnsi="Cambria"/>
        <w:lang w:val="pl-PL"/>
      </w:rPr>
      <w:t>stavovi</w:t>
    </w:r>
    <w:r w:rsidRPr="0091006A">
      <w:rPr>
        <w:rFonts w:ascii="Cambria" w:hAnsi="Cambria"/>
      </w:rPr>
      <w:t xml:space="preserve"> </w:t>
    </w:r>
    <w:r w:rsidRPr="0091006A">
      <w:rPr>
        <w:rFonts w:ascii="Cambria" w:hAnsi="Cambria"/>
        <w:lang w:val="pl-PL"/>
      </w:rPr>
      <w:t>pripadaju</w:t>
    </w:r>
    <w:r w:rsidRPr="0091006A">
      <w:rPr>
        <w:rFonts w:ascii="Cambria" w:hAnsi="Cambria"/>
      </w:rPr>
      <w:t xml:space="preserve"> </w:t>
    </w:r>
    <w:r w:rsidRPr="0091006A">
      <w:rPr>
        <w:rFonts w:ascii="Cambria" w:hAnsi="Cambria"/>
        <w:lang w:val="pl-PL"/>
      </w:rPr>
      <w:t>isklju</w:t>
    </w:r>
    <w:r w:rsidRPr="0091006A">
      <w:rPr>
        <w:rFonts w:ascii="Cambria" w:hAnsi="Cambria"/>
      </w:rPr>
      <w:t>č</w:t>
    </w:r>
    <w:r w:rsidRPr="0091006A">
      <w:rPr>
        <w:rFonts w:ascii="Cambria" w:hAnsi="Cambria"/>
        <w:lang w:val="pl-PL"/>
      </w:rPr>
      <w:t>ivo</w:t>
    </w:r>
    <w:r w:rsidRPr="0091006A">
      <w:rPr>
        <w:rFonts w:ascii="Cambria" w:hAnsi="Cambria"/>
      </w:rPr>
      <w:t xml:space="preserve"> </w:t>
    </w:r>
    <w:r w:rsidRPr="0091006A">
      <w:rPr>
        <w:rFonts w:ascii="Cambria" w:hAnsi="Cambria"/>
        <w:lang w:val="pl-PL"/>
      </w:rPr>
      <w:t>organizaciji</w:t>
    </w:r>
    <w:r w:rsidRPr="0091006A">
      <w:rPr>
        <w:rFonts w:ascii="Cambria" w:hAnsi="Cambria"/>
      </w:rPr>
      <w:t xml:space="preserve"> </w:t>
    </w:r>
    <w:r w:rsidRPr="0091006A">
      <w:rPr>
        <w:rFonts w:ascii="Cambria" w:hAnsi="Cambria"/>
        <w:lang w:val="pl-PL"/>
      </w:rPr>
      <w:t>Transparentnost</w:t>
    </w:r>
    <w:r w:rsidRPr="0091006A">
      <w:rPr>
        <w:rFonts w:ascii="Cambria" w:hAnsi="Cambria"/>
      </w:rPr>
      <w:t xml:space="preserve"> – </w:t>
    </w:r>
    <w:r w:rsidRPr="0091006A">
      <w:rPr>
        <w:rFonts w:ascii="Cambria" w:hAnsi="Cambria"/>
        <w:lang w:val="pl-PL"/>
      </w:rPr>
      <w:t>Srbija</w:t>
    </w:r>
    <w:r w:rsidRPr="0091006A">
      <w:rPr>
        <w:rFonts w:ascii="Cambria" w:hAnsi="Cambria"/>
      </w:rPr>
      <w:t xml:space="preserve">, </w:t>
    </w:r>
    <w:r w:rsidRPr="0091006A">
      <w:rPr>
        <w:rFonts w:ascii="Cambria" w:hAnsi="Cambria"/>
        <w:lang w:val="pl-PL"/>
      </w:rPr>
      <w:t>delu</w:t>
    </w:r>
    <w:r w:rsidRPr="0091006A">
      <w:rPr>
        <w:rFonts w:ascii="Cambria" w:hAnsi="Cambria"/>
      </w:rPr>
      <w:t xml:space="preserve"> </w:t>
    </w:r>
    <w:r w:rsidRPr="0091006A">
      <w:rPr>
        <w:rFonts w:ascii="Cambria" w:hAnsi="Cambria"/>
        <w:lang w:val="pl-PL"/>
      </w:rPr>
      <w:t>me</w:t>
    </w:r>
    <w:r w:rsidRPr="0091006A">
      <w:rPr>
        <w:rFonts w:ascii="Cambria" w:hAnsi="Cambria"/>
      </w:rPr>
      <w:t>đ</w:t>
    </w:r>
    <w:r w:rsidRPr="0091006A">
      <w:rPr>
        <w:rFonts w:ascii="Cambria" w:hAnsi="Cambria"/>
        <w:lang w:val="pl-PL"/>
      </w:rPr>
      <w:t>unarodne</w:t>
    </w:r>
    <w:r w:rsidRPr="0091006A">
      <w:rPr>
        <w:rFonts w:ascii="Cambria" w:hAnsi="Cambria"/>
      </w:rPr>
      <w:t xml:space="preserve"> </w:t>
    </w:r>
    <w:r w:rsidRPr="0091006A">
      <w:rPr>
        <w:rFonts w:ascii="Cambria" w:hAnsi="Cambria"/>
        <w:lang w:val="pl-PL"/>
      </w:rPr>
      <w:t>mre</w:t>
    </w:r>
    <w:r w:rsidRPr="0091006A">
      <w:rPr>
        <w:rFonts w:ascii="Cambria" w:hAnsi="Cambria"/>
      </w:rPr>
      <w:t>ž</w:t>
    </w:r>
    <w:r w:rsidRPr="0091006A">
      <w:rPr>
        <w:rFonts w:ascii="Cambria" w:hAnsi="Cambria"/>
        <w:lang w:val="pl-PL"/>
      </w:rPr>
      <w:t>e</w:t>
    </w:r>
    <w:r w:rsidRPr="0091006A">
      <w:rPr>
        <w:rFonts w:ascii="Cambria" w:hAnsi="Cambria"/>
      </w:rPr>
      <w:t xml:space="preserve"> </w:t>
    </w:r>
    <w:r w:rsidRPr="0091006A">
      <w:rPr>
        <w:rFonts w:ascii="Cambria" w:hAnsi="Cambria"/>
        <w:lang w:val="pl-PL"/>
      </w:rPr>
      <w:t>Transparency</w:t>
    </w:r>
    <w:r w:rsidRPr="0091006A">
      <w:rPr>
        <w:rFonts w:ascii="Cambria" w:hAnsi="Cambria"/>
      </w:rPr>
      <w:t xml:space="preserve"> </w:t>
    </w:r>
    <w:r w:rsidRPr="0091006A">
      <w:rPr>
        <w:rFonts w:ascii="Cambria" w:hAnsi="Cambria"/>
        <w:lang w:val="pl-PL"/>
      </w:rPr>
      <w:t>International</w:t>
    </w:r>
    <w:r w:rsidRPr="0091006A">
      <w:rPr>
        <w:rFonts w:ascii="Cambria" w:hAnsi="Cambria"/>
      </w:rPr>
      <w:t xml:space="preserve">, </w:t>
    </w:r>
    <w:r w:rsidRPr="0091006A">
      <w:rPr>
        <w:rFonts w:ascii="Cambria" w:hAnsi="Cambria"/>
        <w:lang w:val="pl-PL"/>
      </w:rPr>
      <w:t>i</w:t>
    </w:r>
    <w:r w:rsidRPr="0091006A">
      <w:rPr>
        <w:rFonts w:ascii="Cambria" w:hAnsi="Cambria"/>
      </w:rPr>
      <w:t xml:space="preserve"> </w:t>
    </w:r>
    <w:r w:rsidRPr="0091006A">
      <w:rPr>
        <w:rFonts w:ascii="Cambria" w:hAnsi="Cambria"/>
        <w:lang w:val="pl-PL"/>
      </w:rPr>
      <w:t>ne</w:t>
    </w:r>
    <w:r w:rsidRPr="0091006A">
      <w:rPr>
        <w:rFonts w:ascii="Cambria" w:hAnsi="Cambria"/>
      </w:rPr>
      <w:t xml:space="preserve"> </w:t>
    </w:r>
    <w:r w:rsidRPr="0091006A">
      <w:rPr>
        <w:rFonts w:ascii="Cambria" w:hAnsi="Cambria"/>
        <w:lang w:val="pl-PL"/>
      </w:rPr>
      <w:t>moraju</w:t>
    </w:r>
    <w:r w:rsidRPr="0091006A">
      <w:rPr>
        <w:rFonts w:ascii="Cambria" w:hAnsi="Cambria"/>
      </w:rPr>
      <w:t xml:space="preserve"> </w:t>
    </w:r>
    <w:r w:rsidRPr="0091006A">
      <w:rPr>
        <w:rFonts w:ascii="Cambria" w:hAnsi="Cambria"/>
        <w:lang w:val="pl-PL"/>
      </w:rPr>
      <w:t>odra</w:t>
    </w:r>
    <w:r w:rsidRPr="0091006A">
      <w:rPr>
        <w:rFonts w:ascii="Cambria" w:hAnsi="Cambria"/>
      </w:rPr>
      <w:t>ž</w:t>
    </w:r>
    <w:r w:rsidRPr="0091006A">
      <w:rPr>
        <w:rFonts w:ascii="Cambria" w:hAnsi="Cambria"/>
        <w:lang w:val="pl-PL"/>
      </w:rPr>
      <w:t>avati</w:t>
    </w:r>
    <w:r w:rsidRPr="0091006A">
      <w:rPr>
        <w:rFonts w:ascii="Cambria" w:hAnsi="Cambria"/>
      </w:rPr>
      <w:t xml:space="preserve"> </w:t>
    </w:r>
    <w:r w:rsidRPr="0091006A">
      <w:rPr>
        <w:rFonts w:ascii="Cambria" w:hAnsi="Cambria"/>
        <w:lang w:val="pl-PL"/>
      </w:rPr>
      <w:t>stavove</w:t>
    </w:r>
    <w:r w:rsidRPr="0091006A">
      <w:rPr>
        <w:rFonts w:ascii="Cambria" w:hAnsi="Cambria"/>
      </w:rPr>
      <w:t xml:space="preserve"> </w:t>
    </w:r>
    <w:r w:rsidRPr="0091006A">
      <w:rPr>
        <w:rFonts w:ascii="Cambria" w:hAnsi="Cambria"/>
        <w:lang w:val="pl-PL"/>
      </w:rPr>
      <w:t>fondacije</w:t>
    </w:r>
    <w:r w:rsidRPr="0091006A">
      <w:rPr>
        <w:rFonts w:ascii="Cambria" w:hAnsi="Cambria"/>
      </w:rPr>
      <w:t xml:space="preserve"> </w:t>
    </w:r>
    <w:r w:rsidRPr="0091006A">
      <w:rPr>
        <w:rFonts w:ascii="Cambria" w:hAnsi="Cambria"/>
        <w:lang w:val="pl-PL"/>
      </w:rPr>
      <w:t>KAS</w:t>
    </w:r>
    <w:r w:rsidRPr="0091006A">
      <w:rPr>
        <w:rFonts w:ascii="Cambria" w:hAnsi="Cambria"/>
      </w:rPr>
      <w:t>.</w:t>
    </w:r>
  </w:p>
  <w:p w:rsidR="0091006A" w:rsidRPr="0091006A" w:rsidRDefault="0091006A">
    <w:pPr>
      <w:pStyle w:val="Footer"/>
    </w:pPr>
  </w:p>
  <w:p w:rsidR="0091006A" w:rsidRPr="0091006A" w:rsidRDefault="00910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8D" w:rsidRDefault="0026368D">
      <w:r>
        <w:separator/>
      </w:r>
    </w:p>
  </w:footnote>
  <w:footnote w:type="continuationSeparator" w:id="1">
    <w:p w:rsidR="0026368D" w:rsidRDefault="0026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DD4477" w:rsidP="005A4E20">
    <w:pPr>
      <w:pStyle w:val="Header"/>
      <w:ind w:left="1440"/>
      <w:rPr>
        <w:rFonts w:ascii="Arial" w:hAnsi="Arial" w:cs="Arial"/>
        <w:b/>
        <w:iCs/>
        <w:caps/>
        <w:lang w:val="sr-Latn-CS"/>
      </w:rPr>
    </w:pPr>
    <w:r w:rsidRPr="00DD4477">
      <w:rPr>
        <w:rFonts w:ascii="Arial" w:hAnsi="Arial" w:cs="Arial"/>
        <w:b/>
        <w:iCs/>
        <w:caps/>
        <w:noProof/>
        <w:lang w:val="sr-Latn-CS" w:eastAsia="zh-TW"/>
      </w:rPr>
      <w:pict>
        <v:rect id="_x0000_s2053" style="position:absolute;left:0;text-align:left;margin-left:531pt;margin-top:186.85pt;width:81pt;height:20.2pt;z-index:251658240;mso-width-percent:900;mso-position-horizontal-relative:page;mso-position-vertical-relative:page;mso-width-percent:900;mso-width-relative:right-margin-area" o:allowincell="f" stroked="f">
          <v:textbox style="mso-next-textbox:#_x0000_s2053;mso-fit-shape-to-text:t" inset="0,,0">
            <w:txbxContent>
              <w:p w:rsidR="00B424A5" w:rsidRDefault="00DD4477" w:rsidP="00B424A5">
                <w:pPr>
                  <w:pBdr>
                    <w:top w:val="single" w:sz="4" w:space="1" w:color="D8D8D8"/>
                  </w:pBdr>
                </w:pPr>
                <w:fldSimple w:instr=" PAGE   \* MERGEFORMAT ">
                  <w:r w:rsidR="001B7630">
                    <w:rPr>
                      <w:noProof/>
                    </w:rPr>
                    <w:t>4</w:t>
                  </w:r>
                </w:fldSimple>
              </w:p>
            </w:txbxContent>
          </v:textbox>
          <w10:wrap anchorx="page" anchory="margin"/>
        </v:rect>
      </w:pict>
    </w:r>
    <w:r w:rsidRPr="00DD4477">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7216"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AA15F9">
      <w:rPr>
        <w:rFonts w:ascii="Arial" w:hAnsi="Arial" w:cs="Arial"/>
        <w:b/>
        <w:caps/>
        <w:noProof/>
        <w:sz w:val="28"/>
        <w:szCs w:val="28"/>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64" w:rsidRPr="00335464" w:rsidRDefault="00AA15F9" w:rsidP="00DB40D4">
    <w:pPr>
      <w:pStyle w:val="Header"/>
      <w:rPr>
        <w:b/>
        <w:sz w:val="24"/>
        <w:szCs w:val="24"/>
      </w:rPr>
    </w:pPr>
    <w:r>
      <w:rPr>
        <w:noProof/>
        <w:lang w:val="en-US" w:eastAsia="en-US"/>
      </w:rPr>
      <w:drawing>
        <wp:anchor distT="0" distB="0" distL="114300" distR="114300" simplePos="0" relativeHeight="251659264" behindDoc="0" locked="0" layoutInCell="1" allowOverlap="1">
          <wp:simplePos x="0" y="0"/>
          <wp:positionH relativeFrom="column">
            <wp:posOffset>-95250</wp:posOffset>
          </wp:positionH>
          <wp:positionV relativeFrom="paragraph">
            <wp:posOffset>3175</wp:posOffset>
          </wp:positionV>
          <wp:extent cx="800100" cy="777240"/>
          <wp:effectExtent l="19050" t="0" r="0" b="0"/>
          <wp:wrapTopAndBottom/>
          <wp:docPr id="8" name="Picture 8"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r w:rsidR="00DB40D4">
      <w:rPr>
        <w:b/>
        <w:sz w:val="24"/>
        <w:szCs w:val="24"/>
      </w:rPr>
      <w:t xml:space="preserve">                   </w:t>
    </w:r>
    <w:r w:rsidR="00DB40D4" w:rsidRPr="00DB40D4">
      <w:rPr>
        <w:rFonts w:ascii="Cambria" w:hAnsi="Cambria"/>
        <w:b/>
        <w:sz w:val="24"/>
        <w:szCs w:val="24"/>
      </w:rPr>
      <w:t xml:space="preserve">TRANSPARENTNOST SRBIJA                       </w:t>
    </w:r>
    <w:r w:rsidR="00DB40D4">
      <w:rPr>
        <w:rFonts w:ascii="Cambria" w:hAnsi="Cambria"/>
        <w:b/>
        <w:sz w:val="24"/>
        <w:szCs w:val="24"/>
      </w:rPr>
      <w:t xml:space="preserve">  </w:t>
    </w:r>
    <w:r w:rsidR="00DB40D4" w:rsidRPr="00DB40D4">
      <w:rPr>
        <w:rFonts w:ascii="Cambria" w:hAnsi="Cambria"/>
        <w:b/>
        <w:sz w:val="24"/>
        <w:szCs w:val="24"/>
      </w:rPr>
      <w:t xml:space="preserve">       </w:t>
    </w:r>
    <w:r>
      <w:rPr>
        <w:b/>
        <w:noProof/>
        <w:sz w:val="24"/>
        <w:szCs w:val="24"/>
        <w:lang w:val="en-US" w:eastAsia="en-US"/>
      </w:rPr>
      <w:drawing>
        <wp:inline distT="0" distB="0" distL="0" distR="0">
          <wp:extent cx="1701800" cy="7156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701800" cy="715645"/>
                  </a:xfrm>
                  <a:prstGeom prst="rect">
                    <a:avLst/>
                  </a:prstGeom>
                  <a:noFill/>
                  <a:ln w="9525">
                    <a:noFill/>
                    <a:miter lim="800000"/>
                    <a:headEnd/>
                    <a:tailEnd/>
                  </a:ln>
                </pic:spPr>
              </pic:pic>
            </a:graphicData>
          </a:graphic>
        </wp:inline>
      </w:drawing>
    </w:r>
    <w:r w:rsidR="00335464">
      <w:rPr>
        <w:b/>
        <w:sz w:val="24"/>
        <w:szCs w:val="24"/>
      </w:rPr>
      <w:t xml:space="preserve">              </w:t>
    </w:r>
  </w:p>
  <w:p w:rsidR="00335464" w:rsidRDefault="00335464">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905"/>
    <w:multiLevelType w:val="hybridMultilevel"/>
    <w:tmpl w:val="CD42D53A"/>
    <w:lvl w:ilvl="0" w:tplc="B512EDC2">
      <w:numFmt w:val="bullet"/>
      <w:lvlText w:val="-"/>
      <w:lvlJc w:val="left"/>
      <w:pPr>
        <w:tabs>
          <w:tab w:val="num" w:pos="720"/>
        </w:tabs>
        <w:ind w:left="720" w:hanging="360"/>
      </w:pPr>
      <w:rPr>
        <w:rFonts w:ascii="Arial Narrow" w:eastAsia="Calibri"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11FC2BC9"/>
    <w:multiLevelType w:val="hybridMultilevel"/>
    <w:tmpl w:val="992A4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9055F"/>
    <w:multiLevelType w:val="hybridMultilevel"/>
    <w:tmpl w:val="6ABAD32E"/>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3">
    <w:nsid w:val="1D46335C"/>
    <w:multiLevelType w:val="hybridMultilevel"/>
    <w:tmpl w:val="99B09E50"/>
    <w:lvl w:ilvl="0" w:tplc="16C62AC2">
      <w:start w:val="4"/>
      <w:numFmt w:val="bullet"/>
      <w:lvlText w:val="-"/>
      <w:lvlJc w:val="left"/>
      <w:pPr>
        <w:tabs>
          <w:tab w:val="num" w:pos="360"/>
        </w:tabs>
        <w:ind w:left="360" w:hanging="360"/>
      </w:pPr>
      <w:rPr>
        <w:rFonts w:ascii="Cambria" w:eastAsia="Calibri" w:hAnsi="Cambria"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
    <w:nsid w:val="1D6F6E09"/>
    <w:multiLevelType w:val="hybridMultilevel"/>
    <w:tmpl w:val="6166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910C1"/>
    <w:multiLevelType w:val="hybridMultilevel"/>
    <w:tmpl w:val="8234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80D22"/>
    <w:multiLevelType w:val="hybridMultilevel"/>
    <w:tmpl w:val="0C64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C5699"/>
    <w:multiLevelType w:val="hybridMultilevel"/>
    <w:tmpl w:val="09B0FD82"/>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32A6A"/>
    <w:multiLevelType w:val="hybridMultilevel"/>
    <w:tmpl w:val="A860E478"/>
    <w:lvl w:ilvl="0" w:tplc="AED6F05C">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5C36E8F"/>
    <w:multiLevelType w:val="hybridMultilevel"/>
    <w:tmpl w:val="7CCE4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484D1A"/>
    <w:multiLevelType w:val="hybridMultilevel"/>
    <w:tmpl w:val="7062C5E8"/>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D8877F8"/>
    <w:multiLevelType w:val="hybridMultilevel"/>
    <w:tmpl w:val="8C1C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5366E7"/>
    <w:multiLevelType w:val="hybridMultilevel"/>
    <w:tmpl w:val="1F72A910"/>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13">
    <w:nsid w:val="3971538C"/>
    <w:multiLevelType w:val="hybridMultilevel"/>
    <w:tmpl w:val="CED2E53A"/>
    <w:lvl w:ilvl="0" w:tplc="38CE9F5A">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39B22DE3"/>
    <w:multiLevelType w:val="hybridMultilevel"/>
    <w:tmpl w:val="183ABE02"/>
    <w:lvl w:ilvl="0" w:tplc="75BAEFCC">
      <w:numFmt w:val="bullet"/>
      <w:lvlText w:val="-"/>
      <w:lvlJc w:val="left"/>
      <w:pPr>
        <w:ind w:left="1425" w:hanging="705"/>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F41EA1"/>
    <w:multiLevelType w:val="hybridMultilevel"/>
    <w:tmpl w:val="94ECC7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DFF7424"/>
    <w:multiLevelType w:val="hybridMultilevel"/>
    <w:tmpl w:val="C9E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C50FDA"/>
    <w:multiLevelType w:val="hybridMultilevel"/>
    <w:tmpl w:val="72F0E926"/>
    <w:lvl w:ilvl="0" w:tplc="9F70FEBE">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5FC26458"/>
    <w:multiLevelType w:val="hybridMultilevel"/>
    <w:tmpl w:val="859418A6"/>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3D075CD"/>
    <w:multiLevelType w:val="hybridMultilevel"/>
    <w:tmpl w:val="1BD4E236"/>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E7548"/>
    <w:multiLevelType w:val="hybridMultilevel"/>
    <w:tmpl w:val="146E07D0"/>
    <w:lvl w:ilvl="0" w:tplc="75BAEFCC">
      <w:numFmt w:val="bullet"/>
      <w:lvlText w:val="-"/>
      <w:lvlJc w:val="left"/>
      <w:pPr>
        <w:ind w:left="1065" w:hanging="70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E32A0F"/>
    <w:multiLevelType w:val="multilevel"/>
    <w:tmpl w:val="764CA9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99D7DBC"/>
    <w:multiLevelType w:val="hybridMultilevel"/>
    <w:tmpl w:val="B27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6E0278"/>
    <w:multiLevelType w:val="hybridMultilevel"/>
    <w:tmpl w:val="E488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8"/>
  </w:num>
  <w:num w:numId="5">
    <w:abstractNumId w:val="13"/>
  </w:num>
  <w:num w:numId="6">
    <w:abstractNumId w:val="18"/>
  </w:num>
  <w:num w:numId="7">
    <w:abstractNumId w:val="10"/>
  </w:num>
  <w:num w:numId="8">
    <w:abstractNumId w:val="19"/>
  </w:num>
  <w:num w:numId="9">
    <w:abstractNumId w:val="2"/>
  </w:num>
  <w:num w:numId="10">
    <w:abstractNumId w:val="12"/>
  </w:num>
  <w:num w:numId="11">
    <w:abstractNumId w:val="17"/>
  </w:num>
  <w:num w:numId="12">
    <w:abstractNumId w:val="6"/>
  </w:num>
  <w:num w:numId="13">
    <w:abstractNumId w:val="21"/>
  </w:num>
  <w:num w:numId="14">
    <w:abstractNumId w:val="14"/>
  </w:num>
  <w:num w:numId="15">
    <w:abstractNumId w:val="1"/>
  </w:num>
  <w:num w:numId="16">
    <w:abstractNumId w:val="16"/>
  </w:num>
  <w:num w:numId="17">
    <w:abstractNumId w:val="3"/>
  </w:num>
  <w:num w:numId="18">
    <w:abstractNumId w:val="11"/>
  </w:num>
  <w:num w:numId="19">
    <w:abstractNumId w:val="9"/>
  </w:num>
  <w:num w:numId="20">
    <w:abstractNumId w:val="5"/>
  </w:num>
  <w:num w:numId="21">
    <w:abstractNumId w:val="24"/>
  </w:num>
  <w:num w:numId="22">
    <w:abstractNumId w:val="23"/>
  </w:num>
  <w:num w:numId="23">
    <w:abstractNumId w:val="7"/>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20"/>
  <w:drawingGridHorizontalSpacing w:val="10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A4E20"/>
    <w:rsid w:val="00021344"/>
    <w:rsid w:val="000340BF"/>
    <w:rsid w:val="000459BF"/>
    <w:rsid w:val="0009480A"/>
    <w:rsid w:val="00094829"/>
    <w:rsid w:val="000A6379"/>
    <w:rsid w:val="000C3237"/>
    <w:rsid w:val="000E06BE"/>
    <w:rsid w:val="000F0F38"/>
    <w:rsid w:val="00102316"/>
    <w:rsid w:val="00104CA4"/>
    <w:rsid w:val="00122FAA"/>
    <w:rsid w:val="00174B43"/>
    <w:rsid w:val="00176E7C"/>
    <w:rsid w:val="00191AE6"/>
    <w:rsid w:val="001A336F"/>
    <w:rsid w:val="001A5EE9"/>
    <w:rsid w:val="001B7479"/>
    <w:rsid w:val="001B7630"/>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6368D"/>
    <w:rsid w:val="002831ED"/>
    <w:rsid w:val="00283CB7"/>
    <w:rsid w:val="002B05EB"/>
    <w:rsid w:val="002B296E"/>
    <w:rsid w:val="002B5DD8"/>
    <w:rsid w:val="002D1C16"/>
    <w:rsid w:val="002F70D8"/>
    <w:rsid w:val="00301C8F"/>
    <w:rsid w:val="003055AF"/>
    <w:rsid w:val="00316525"/>
    <w:rsid w:val="00321827"/>
    <w:rsid w:val="00335464"/>
    <w:rsid w:val="003400D1"/>
    <w:rsid w:val="003429EF"/>
    <w:rsid w:val="00361943"/>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572E4"/>
    <w:rsid w:val="008624A8"/>
    <w:rsid w:val="00881A2D"/>
    <w:rsid w:val="00894B45"/>
    <w:rsid w:val="008A5977"/>
    <w:rsid w:val="008B0152"/>
    <w:rsid w:val="008C1CA5"/>
    <w:rsid w:val="008C623A"/>
    <w:rsid w:val="008D6944"/>
    <w:rsid w:val="008E2E83"/>
    <w:rsid w:val="008E6195"/>
    <w:rsid w:val="008F0C15"/>
    <w:rsid w:val="0091006A"/>
    <w:rsid w:val="009208B0"/>
    <w:rsid w:val="00932A0B"/>
    <w:rsid w:val="009339CF"/>
    <w:rsid w:val="00933E8A"/>
    <w:rsid w:val="00954BD8"/>
    <w:rsid w:val="00973EC2"/>
    <w:rsid w:val="009B64E3"/>
    <w:rsid w:val="009C3658"/>
    <w:rsid w:val="009C6383"/>
    <w:rsid w:val="009E7F8F"/>
    <w:rsid w:val="00A20FAA"/>
    <w:rsid w:val="00A47E55"/>
    <w:rsid w:val="00A640C2"/>
    <w:rsid w:val="00A82CD4"/>
    <w:rsid w:val="00A930A4"/>
    <w:rsid w:val="00A94592"/>
    <w:rsid w:val="00AA15F9"/>
    <w:rsid w:val="00AA447C"/>
    <w:rsid w:val="00AA6DC6"/>
    <w:rsid w:val="00AB2094"/>
    <w:rsid w:val="00AB3EDC"/>
    <w:rsid w:val="00AC319C"/>
    <w:rsid w:val="00AD25BD"/>
    <w:rsid w:val="00AE1E51"/>
    <w:rsid w:val="00AF2058"/>
    <w:rsid w:val="00B065A1"/>
    <w:rsid w:val="00B163BE"/>
    <w:rsid w:val="00B33BDC"/>
    <w:rsid w:val="00B424A5"/>
    <w:rsid w:val="00B4653C"/>
    <w:rsid w:val="00B530C0"/>
    <w:rsid w:val="00B56320"/>
    <w:rsid w:val="00B61664"/>
    <w:rsid w:val="00B70218"/>
    <w:rsid w:val="00B768EB"/>
    <w:rsid w:val="00B80C48"/>
    <w:rsid w:val="00B95A38"/>
    <w:rsid w:val="00B9786A"/>
    <w:rsid w:val="00BA15D5"/>
    <w:rsid w:val="00BA2EB8"/>
    <w:rsid w:val="00BB63CD"/>
    <w:rsid w:val="00BC0135"/>
    <w:rsid w:val="00BD5148"/>
    <w:rsid w:val="00BE47B0"/>
    <w:rsid w:val="00BF09C6"/>
    <w:rsid w:val="00BF2454"/>
    <w:rsid w:val="00C14486"/>
    <w:rsid w:val="00C4772B"/>
    <w:rsid w:val="00C5579D"/>
    <w:rsid w:val="00C833CC"/>
    <w:rsid w:val="00C949F8"/>
    <w:rsid w:val="00CB3A62"/>
    <w:rsid w:val="00CB409A"/>
    <w:rsid w:val="00CD4422"/>
    <w:rsid w:val="00CF20A1"/>
    <w:rsid w:val="00D249D0"/>
    <w:rsid w:val="00D45431"/>
    <w:rsid w:val="00D57133"/>
    <w:rsid w:val="00D6180E"/>
    <w:rsid w:val="00D8622F"/>
    <w:rsid w:val="00DA5CC5"/>
    <w:rsid w:val="00DB3CEE"/>
    <w:rsid w:val="00DB40D4"/>
    <w:rsid w:val="00DC1F8E"/>
    <w:rsid w:val="00DC52BD"/>
    <w:rsid w:val="00DC773E"/>
    <w:rsid w:val="00DC7D8E"/>
    <w:rsid w:val="00DD4477"/>
    <w:rsid w:val="00DE219B"/>
    <w:rsid w:val="00DF1335"/>
    <w:rsid w:val="00DF1F83"/>
    <w:rsid w:val="00DF31C1"/>
    <w:rsid w:val="00DF5DF9"/>
    <w:rsid w:val="00E307DA"/>
    <w:rsid w:val="00E35FF4"/>
    <w:rsid w:val="00E523D6"/>
    <w:rsid w:val="00EA54C2"/>
    <w:rsid w:val="00EB1D48"/>
    <w:rsid w:val="00EE0AB1"/>
    <w:rsid w:val="00EE23B7"/>
    <w:rsid w:val="00EE69C6"/>
    <w:rsid w:val="00EE6A9F"/>
    <w:rsid w:val="00EF4383"/>
    <w:rsid w:val="00EF4A76"/>
    <w:rsid w:val="00F025BD"/>
    <w:rsid w:val="00F27450"/>
    <w:rsid w:val="00F312CB"/>
    <w:rsid w:val="00F336FD"/>
    <w:rsid w:val="00F345CB"/>
    <w:rsid w:val="00F44D3B"/>
    <w:rsid w:val="00F47F06"/>
    <w:rsid w:val="00F54E4E"/>
    <w:rsid w:val="00F55D8C"/>
    <w:rsid w:val="00F56571"/>
    <w:rsid w:val="00F64277"/>
    <w:rsid w:val="00F813D0"/>
    <w:rsid w:val="00F8433E"/>
    <w:rsid w:val="00F931AB"/>
    <w:rsid w:val="00F935B5"/>
    <w:rsid w:val="00FA0752"/>
    <w:rsid w:val="00FA5624"/>
    <w:rsid w:val="00FB1D31"/>
    <w:rsid w:val="00FB4BFD"/>
    <w:rsid w:val="00FC4EFC"/>
    <w:rsid w:val="00FC5CB7"/>
    <w:rsid w:val="00FE3243"/>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Heading1">
    <w:name w:val="heading 1"/>
    <w:basedOn w:val="Normal"/>
    <w:next w:val="Normal"/>
    <w:link w:val="Heading1Char"/>
    <w:qFormat/>
    <w:rsid w:val="00FE3243"/>
    <w:pPr>
      <w:keepNext/>
      <w:suppressAutoHyphens w:val="0"/>
      <w:spacing w:before="240" w:after="60"/>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243"/>
    <w:rPr>
      <w:rFonts w:ascii="Cambria" w:hAnsi="Cambria"/>
      <w:b/>
      <w:bCs/>
      <w:kern w:val="32"/>
      <w:sz w:val="32"/>
      <w:szCs w:val="32"/>
      <w:lang w:val="en-GB"/>
    </w:rPr>
  </w:style>
  <w:style w:type="paragraph" w:styleId="Header">
    <w:name w:val="header"/>
    <w:basedOn w:val="Normal"/>
    <w:link w:val="HeaderChar"/>
    <w:rsid w:val="005A4E20"/>
    <w:pPr>
      <w:tabs>
        <w:tab w:val="center" w:pos="4320"/>
        <w:tab w:val="right" w:pos="8640"/>
      </w:tabs>
    </w:pPr>
  </w:style>
  <w:style w:type="character" w:customStyle="1" w:styleId="HeaderChar">
    <w:name w:val="Header Char"/>
    <w:link w:val="Header"/>
    <w:rsid w:val="00FE3243"/>
    <w:rPr>
      <w:lang w:val="en-GB" w:eastAsia="ar-SA"/>
    </w:rPr>
  </w:style>
  <w:style w:type="paragraph" w:styleId="Footer">
    <w:name w:val="footer"/>
    <w:basedOn w:val="Normal"/>
    <w:link w:val="FooterChar"/>
    <w:uiPriority w:val="99"/>
    <w:rsid w:val="005A4E20"/>
    <w:pPr>
      <w:tabs>
        <w:tab w:val="center" w:pos="4320"/>
        <w:tab w:val="right" w:pos="8640"/>
      </w:tabs>
    </w:pPr>
  </w:style>
  <w:style w:type="character" w:customStyle="1" w:styleId="FooterChar">
    <w:name w:val="Footer Char"/>
    <w:link w:val="Footer"/>
    <w:uiPriority w:val="99"/>
    <w:rsid w:val="00FE3243"/>
    <w:rPr>
      <w:lang w:val="en-GB" w:eastAsia="ar-SA"/>
    </w:rPr>
  </w:style>
  <w:style w:type="character" w:styleId="Hyperlink">
    <w:name w:val="Hyperlink"/>
    <w:basedOn w:val="DefaultParagraphFont"/>
    <w:rsid w:val="005A4E20"/>
    <w:rPr>
      <w:color w:val="0000FF"/>
      <w:u w:val="single"/>
    </w:rPr>
  </w:style>
  <w:style w:type="paragraph" w:styleId="BalloonText">
    <w:name w:val="Balloon Text"/>
    <w:basedOn w:val="Normal"/>
    <w:link w:val="BalloonTextChar"/>
    <w:rsid w:val="00505382"/>
    <w:rPr>
      <w:rFonts w:ascii="Tahoma" w:hAnsi="Tahoma"/>
      <w:sz w:val="16"/>
      <w:szCs w:val="16"/>
    </w:rPr>
  </w:style>
  <w:style w:type="character" w:customStyle="1" w:styleId="BalloonTextChar">
    <w:name w:val="Balloon Text Char"/>
    <w:link w:val="BalloonText"/>
    <w:rsid w:val="00FE3243"/>
    <w:rPr>
      <w:rFonts w:ascii="Tahoma" w:hAnsi="Tahoma" w:cs="Tahoma"/>
      <w:sz w:val="16"/>
      <w:szCs w:val="16"/>
      <w:lang w:val="en-GB" w:eastAsia="ar-SA"/>
    </w:rPr>
  </w:style>
  <w:style w:type="paragraph" w:styleId="NormalWeb">
    <w:name w:val="Normal (Web)"/>
    <w:basedOn w:val="Normal"/>
    <w:uiPriority w:val="99"/>
    <w:rsid w:val="003E0A5B"/>
    <w:pPr>
      <w:suppressAutoHyphens w:val="0"/>
    </w:pPr>
    <w:rPr>
      <w:sz w:val="24"/>
      <w:szCs w:val="24"/>
      <w:lang w:val="sr-Latn-CS" w:eastAsia="sr-Latn-CS"/>
    </w:rPr>
  </w:style>
  <w:style w:type="paragraph" w:styleId="ListParagraph">
    <w:name w:val="List Paragraph"/>
    <w:basedOn w:val="Normal"/>
    <w:uiPriority w:val="34"/>
    <w:qFormat/>
    <w:rsid w:val="00FE3243"/>
    <w:pPr>
      <w:suppressAutoHyphens w:val="0"/>
      <w:spacing w:line="276" w:lineRule="auto"/>
      <w:ind w:left="720"/>
    </w:pPr>
    <w:rPr>
      <w:rFonts w:ascii="Arial" w:hAnsi="Arial"/>
      <w:sz w:val="22"/>
      <w:szCs w:val="22"/>
      <w:lang w:eastAsia="en-US"/>
    </w:rPr>
  </w:style>
  <w:style w:type="character" w:styleId="Strong">
    <w:name w:val="Strong"/>
    <w:uiPriority w:val="22"/>
    <w:qFormat/>
    <w:rsid w:val="00FE3243"/>
    <w:rPr>
      <w:b/>
      <w:bCs/>
    </w:rPr>
  </w:style>
  <w:style w:type="character" w:styleId="Emphasis">
    <w:name w:val="Emphasis"/>
    <w:qFormat/>
    <w:rsid w:val="00FE3243"/>
    <w:rPr>
      <w:i/>
      <w:iCs/>
    </w:rPr>
  </w:style>
  <w:style w:type="character" w:customStyle="1" w:styleId="apple-converted-space">
    <w:name w:val="apple-converted-space"/>
    <w:basedOn w:val="DefaultParagraphFont"/>
    <w:rsid w:val="00FE3243"/>
  </w:style>
  <w:style w:type="paragraph" w:styleId="FootnoteText">
    <w:name w:val="footnote text"/>
    <w:basedOn w:val="Normal"/>
    <w:link w:val="FootnoteTextChar"/>
    <w:rsid w:val="00FE3243"/>
    <w:pPr>
      <w:suppressAutoHyphens w:val="0"/>
    </w:pPr>
    <w:rPr>
      <w:rFonts w:ascii="Arial Narrow" w:eastAsia="Calibri" w:hAnsi="Arial Narrow"/>
      <w:lang w:eastAsia="en-US"/>
    </w:rPr>
  </w:style>
  <w:style w:type="character" w:customStyle="1" w:styleId="FootnoteTextChar">
    <w:name w:val="Footnote Text Char"/>
    <w:basedOn w:val="DefaultParagraphFont"/>
    <w:link w:val="FootnoteText"/>
    <w:rsid w:val="00FE3243"/>
    <w:rPr>
      <w:rFonts w:ascii="Arial Narrow" w:eastAsia="Calibri" w:hAnsi="Arial Narrow"/>
      <w:lang w:val="en-GB"/>
    </w:rPr>
  </w:style>
  <w:style w:type="character" w:styleId="FootnoteReference">
    <w:name w:val="footnote reference"/>
    <w:rsid w:val="00FE3243"/>
    <w:rPr>
      <w:vertAlign w:val="superscript"/>
    </w:rPr>
  </w:style>
  <w:style w:type="character" w:styleId="FollowedHyperlink">
    <w:name w:val="FollowedHyperlink"/>
    <w:rsid w:val="00FE3243"/>
    <w:rPr>
      <w:color w:val="800080"/>
      <w:u w:val="single"/>
    </w:rPr>
  </w:style>
  <w:style w:type="character" w:styleId="CommentReference">
    <w:name w:val="annotation reference"/>
    <w:rsid w:val="00FE3243"/>
    <w:rPr>
      <w:sz w:val="16"/>
      <w:szCs w:val="16"/>
    </w:rPr>
  </w:style>
  <w:style w:type="paragraph" w:styleId="CommentText">
    <w:name w:val="annotation text"/>
    <w:basedOn w:val="Normal"/>
    <w:link w:val="CommentTextChar"/>
    <w:rsid w:val="00FE3243"/>
    <w:pPr>
      <w:suppressAutoHyphens w:val="0"/>
    </w:pPr>
    <w:rPr>
      <w:rFonts w:ascii="Arial Narrow" w:eastAsia="Calibri" w:hAnsi="Arial Narrow"/>
      <w:lang w:eastAsia="en-US"/>
    </w:rPr>
  </w:style>
  <w:style w:type="character" w:customStyle="1" w:styleId="CommentTextChar">
    <w:name w:val="Comment Text Char"/>
    <w:basedOn w:val="DefaultParagraphFont"/>
    <w:link w:val="CommentText"/>
    <w:rsid w:val="00FE3243"/>
    <w:rPr>
      <w:rFonts w:ascii="Arial Narrow" w:eastAsia="Calibri" w:hAnsi="Arial Narrow"/>
    </w:rPr>
  </w:style>
  <w:style w:type="paragraph" w:styleId="CommentSubject">
    <w:name w:val="annotation subject"/>
    <w:basedOn w:val="CommentText"/>
    <w:next w:val="CommentText"/>
    <w:link w:val="CommentSubjectChar"/>
    <w:rsid w:val="00FE3243"/>
    <w:rPr>
      <w:b/>
      <w:bCs/>
    </w:rPr>
  </w:style>
  <w:style w:type="character" w:customStyle="1" w:styleId="CommentSubjectChar">
    <w:name w:val="Comment Subject Char"/>
    <w:basedOn w:val="CommentTextChar"/>
    <w:link w:val="CommentSubject"/>
    <w:rsid w:val="00FE3243"/>
    <w:rPr>
      <w:b/>
      <w:bCs/>
    </w:rPr>
  </w:style>
  <w:style w:type="paragraph" w:styleId="TOC1">
    <w:name w:val="toc 1"/>
    <w:basedOn w:val="Normal"/>
    <w:next w:val="Normal"/>
    <w:autoRedefine/>
    <w:uiPriority w:val="39"/>
    <w:rsid w:val="003400D1"/>
    <w:pPr>
      <w:tabs>
        <w:tab w:val="right" w:leader="dot" w:pos="8296"/>
      </w:tabs>
      <w:suppressAutoHyphens w:val="0"/>
      <w:spacing w:line="360" w:lineRule="auto"/>
    </w:pPr>
    <w:rPr>
      <w:rFonts w:ascii="Arial Narrow" w:eastAsia="Calibri" w:hAnsi="Arial Narrow"/>
      <w:sz w:val="24"/>
      <w:szCs w:val="24"/>
      <w:lang w:eastAsia="en-US"/>
    </w:rPr>
  </w:style>
  <w:style w:type="paragraph" w:styleId="NoSpacing">
    <w:name w:val="No Spacing"/>
    <w:link w:val="NoSpacingChar"/>
    <w:uiPriority w:val="1"/>
    <w:qFormat/>
    <w:rsid w:val="00335464"/>
    <w:rPr>
      <w:rFonts w:ascii="Calibri" w:hAnsi="Calibri"/>
      <w:sz w:val="22"/>
      <w:szCs w:val="22"/>
    </w:rPr>
  </w:style>
  <w:style w:type="character" w:customStyle="1" w:styleId="NoSpacingChar">
    <w:name w:val="No Spacing Char"/>
    <w:basedOn w:val="DefaultParagraphFont"/>
    <w:link w:val="NoSpacing"/>
    <w:uiPriority w:val="1"/>
    <w:rsid w:val="00335464"/>
    <w:rPr>
      <w:rFonts w:ascii="Calibri"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
  <LinksUpToDate>false</LinksUpToDate>
  <CharactersWithSpaces>7938</CharactersWithSpaces>
  <SharedDoc>false</SharedDoc>
  <HLinks>
    <vt:vector size="222" baseType="variant">
      <vt:variant>
        <vt:i4>3670068</vt:i4>
      </vt:variant>
      <vt:variant>
        <vt:i4>135</vt:i4>
      </vt:variant>
      <vt:variant>
        <vt:i4>0</vt:i4>
      </vt:variant>
      <vt:variant>
        <vt:i4>5</vt:i4>
      </vt:variant>
      <vt:variant>
        <vt:lpwstr>http://transparentnost.org.rs/index.php?option=com_content&amp;view=article&amp;id=332:nedovoljno-jasna-antikorupcijska-platforma-rekonstruisane-vlade&amp;catid=14:vesti&amp;Itemid=1&amp;lang=sr</vt:lpwstr>
      </vt:variant>
      <vt:variant>
        <vt:lpwstr>_ftn1</vt:lpwstr>
      </vt:variant>
      <vt:variant>
        <vt:i4>2031670</vt:i4>
      </vt:variant>
      <vt:variant>
        <vt:i4>128</vt:i4>
      </vt:variant>
      <vt:variant>
        <vt:i4>0</vt:i4>
      </vt:variant>
      <vt:variant>
        <vt:i4>5</vt:i4>
      </vt:variant>
      <vt:variant>
        <vt:lpwstr/>
      </vt:variant>
      <vt:variant>
        <vt:lpwstr>_Toc367368459</vt:lpwstr>
      </vt:variant>
      <vt:variant>
        <vt:i4>2031670</vt:i4>
      </vt:variant>
      <vt:variant>
        <vt:i4>122</vt:i4>
      </vt:variant>
      <vt:variant>
        <vt:i4>0</vt:i4>
      </vt:variant>
      <vt:variant>
        <vt:i4>5</vt:i4>
      </vt:variant>
      <vt:variant>
        <vt:lpwstr/>
      </vt:variant>
      <vt:variant>
        <vt:lpwstr>_Toc367368458</vt:lpwstr>
      </vt:variant>
      <vt:variant>
        <vt:i4>2031670</vt:i4>
      </vt:variant>
      <vt:variant>
        <vt:i4>116</vt:i4>
      </vt:variant>
      <vt:variant>
        <vt:i4>0</vt:i4>
      </vt:variant>
      <vt:variant>
        <vt:i4>5</vt:i4>
      </vt:variant>
      <vt:variant>
        <vt:lpwstr/>
      </vt:variant>
      <vt:variant>
        <vt:lpwstr>_Toc367368457</vt:lpwstr>
      </vt:variant>
      <vt:variant>
        <vt:i4>2031670</vt:i4>
      </vt:variant>
      <vt:variant>
        <vt:i4>110</vt:i4>
      </vt:variant>
      <vt:variant>
        <vt:i4>0</vt:i4>
      </vt:variant>
      <vt:variant>
        <vt:i4>5</vt:i4>
      </vt:variant>
      <vt:variant>
        <vt:lpwstr/>
      </vt:variant>
      <vt:variant>
        <vt:lpwstr>_Toc367368456</vt:lpwstr>
      </vt:variant>
      <vt:variant>
        <vt:i4>2031670</vt:i4>
      </vt:variant>
      <vt:variant>
        <vt:i4>104</vt:i4>
      </vt:variant>
      <vt:variant>
        <vt:i4>0</vt:i4>
      </vt:variant>
      <vt:variant>
        <vt:i4>5</vt:i4>
      </vt:variant>
      <vt:variant>
        <vt:lpwstr/>
      </vt:variant>
      <vt:variant>
        <vt:lpwstr>_Toc367368455</vt:lpwstr>
      </vt:variant>
      <vt:variant>
        <vt:i4>2031670</vt:i4>
      </vt:variant>
      <vt:variant>
        <vt:i4>98</vt:i4>
      </vt:variant>
      <vt:variant>
        <vt:i4>0</vt:i4>
      </vt:variant>
      <vt:variant>
        <vt:i4>5</vt:i4>
      </vt:variant>
      <vt:variant>
        <vt:lpwstr/>
      </vt:variant>
      <vt:variant>
        <vt:lpwstr>_Toc367368454</vt:lpwstr>
      </vt:variant>
      <vt:variant>
        <vt:i4>2031670</vt:i4>
      </vt:variant>
      <vt:variant>
        <vt:i4>92</vt:i4>
      </vt:variant>
      <vt:variant>
        <vt:i4>0</vt:i4>
      </vt:variant>
      <vt:variant>
        <vt:i4>5</vt:i4>
      </vt:variant>
      <vt:variant>
        <vt:lpwstr/>
      </vt:variant>
      <vt:variant>
        <vt:lpwstr>_Toc367368453</vt:lpwstr>
      </vt:variant>
      <vt:variant>
        <vt:i4>2031670</vt:i4>
      </vt:variant>
      <vt:variant>
        <vt:i4>86</vt:i4>
      </vt:variant>
      <vt:variant>
        <vt:i4>0</vt:i4>
      </vt:variant>
      <vt:variant>
        <vt:i4>5</vt:i4>
      </vt:variant>
      <vt:variant>
        <vt:lpwstr/>
      </vt:variant>
      <vt:variant>
        <vt:lpwstr>_Toc367368452</vt:lpwstr>
      </vt:variant>
      <vt:variant>
        <vt:i4>2031670</vt:i4>
      </vt:variant>
      <vt:variant>
        <vt:i4>80</vt:i4>
      </vt:variant>
      <vt:variant>
        <vt:i4>0</vt:i4>
      </vt:variant>
      <vt:variant>
        <vt:i4>5</vt:i4>
      </vt:variant>
      <vt:variant>
        <vt:lpwstr/>
      </vt:variant>
      <vt:variant>
        <vt:lpwstr>_Toc367368451</vt:lpwstr>
      </vt:variant>
      <vt:variant>
        <vt:i4>2031670</vt:i4>
      </vt:variant>
      <vt:variant>
        <vt:i4>74</vt:i4>
      </vt:variant>
      <vt:variant>
        <vt:i4>0</vt:i4>
      </vt:variant>
      <vt:variant>
        <vt:i4>5</vt:i4>
      </vt:variant>
      <vt:variant>
        <vt:lpwstr/>
      </vt:variant>
      <vt:variant>
        <vt:lpwstr>_Toc367368450</vt:lpwstr>
      </vt:variant>
      <vt:variant>
        <vt:i4>1966134</vt:i4>
      </vt:variant>
      <vt:variant>
        <vt:i4>68</vt:i4>
      </vt:variant>
      <vt:variant>
        <vt:i4>0</vt:i4>
      </vt:variant>
      <vt:variant>
        <vt:i4>5</vt:i4>
      </vt:variant>
      <vt:variant>
        <vt:lpwstr/>
      </vt:variant>
      <vt:variant>
        <vt:lpwstr>_Toc367368449</vt:lpwstr>
      </vt:variant>
      <vt:variant>
        <vt:i4>1966134</vt:i4>
      </vt:variant>
      <vt:variant>
        <vt:i4>62</vt:i4>
      </vt:variant>
      <vt:variant>
        <vt:i4>0</vt:i4>
      </vt:variant>
      <vt:variant>
        <vt:i4>5</vt:i4>
      </vt:variant>
      <vt:variant>
        <vt:lpwstr/>
      </vt:variant>
      <vt:variant>
        <vt:lpwstr>_Toc367368448</vt:lpwstr>
      </vt:variant>
      <vt:variant>
        <vt:i4>1966134</vt:i4>
      </vt:variant>
      <vt:variant>
        <vt:i4>56</vt:i4>
      </vt:variant>
      <vt:variant>
        <vt:i4>0</vt:i4>
      </vt:variant>
      <vt:variant>
        <vt:i4>5</vt:i4>
      </vt:variant>
      <vt:variant>
        <vt:lpwstr/>
      </vt:variant>
      <vt:variant>
        <vt:lpwstr>_Toc367368447</vt:lpwstr>
      </vt:variant>
      <vt:variant>
        <vt:i4>1966134</vt:i4>
      </vt:variant>
      <vt:variant>
        <vt:i4>50</vt:i4>
      </vt:variant>
      <vt:variant>
        <vt:i4>0</vt:i4>
      </vt:variant>
      <vt:variant>
        <vt:i4>5</vt:i4>
      </vt:variant>
      <vt:variant>
        <vt:lpwstr/>
      </vt:variant>
      <vt:variant>
        <vt:lpwstr>_Toc367368446</vt:lpwstr>
      </vt:variant>
      <vt:variant>
        <vt:i4>1966134</vt:i4>
      </vt:variant>
      <vt:variant>
        <vt:i4>44</vt:i4>
      </vt:variant>
      <vt:variant>
        <vt:i4>0</vt:i4>
      </vt:variant>
      <vt:variant>
        <vt:i4>5</vt:i4>
      </vt:variant>
      <vt:variant>
        <vt:lpwstr/>
      </vt:variant>
      <vt:variant>
        <vt:lpwstr>_Toc367368445</vt:lpwstr>
      </vt:variant>
      <vt:variant>
        <vt:i4>1966134</vt:i4>
      </vt:variant>
      <vt:variant>
        <vt:i4>38</vt:i4>
      </vt:variant>
      <vt:variant>
        <vt:i4>0</vt:i4>
      </vt:variant>
      <vt:variant>
        <vt:i4>5</vt:i4>
      </vt:variant>
      <vt:variant>
        <vt:lpwstr/>
      </vt:variant>
      <vt:variant>
        <vt:lpwstr>_Toc367368444</vt:lpwstr>
      </vt:variant>
      <vt:variant>
        <vt:i4>1966134</vt:i4>
      </vt:variant>
      <vt:variant>
        <vt:i4>32</vt:i4>
      </vt:variant>
      <vt:variant>
        <vt:i4>0</vt:i4>
      </vt:variant>
      <vt:variant>
        <vt:i4>5</vt:i4>
      </vt:variant>
      <vt:variant>
        <vt:lpwstr/>
      </vt:variant>
      <vt:variant>
        <vt:lpwstr>_Toc367368443</vt:lpwstr>
      </vt:variant>
      <vt:variant>
        <vt:i4>1966134</vt:i4>
      </vt:variant>
      <vt:variant>
        <vt:i4>26</vt:i4>
      </vt:variant>
      <vt:variant>
        <vt:i4>0</vt:i4>
      </vt:variant>
      <vt:variant>
        <vt:i4>5</vt:i4>
      </vt:variant>
      <vt:variant>
        <vt:lpwstr/>
      </vt:variant>
      <vt:variant>
        <vt:lpwstr>_Toc367368442</vt:lpwstr>
      </vt:variant>
      <vt:variant>
        <vt:i4>1966134</vt:i4>
      </vt:variant>
      <vt:variant>
        <vt:i4>20</vt:i4>
      </vt:variant>
      <vt:variant>
        <vt:i4>0</vt:i4>
      </vt:variant>
      <vt:variant>
        <vt:i4>5</vt:i4>
      </vt:variant>
      <vt:variant>
        <vt:lpwstr/>
      </vt:variant>
      <vt:variant>
        <vt:lpwstr>_Toc367368441</vt:lpwstr>
      </vt:variant>
      <vt:variant>
        <vt:i4>1966134</vt:i4>
      </vt:variant>
      <vt:variant>
        <vt:i4>14</vt:i4>
      </vt:variant>
      <vt:variant>
        <vt:i4>0</vt:i4>
      </vt:variant>
      <vt:variant>
        <vt:i4>5</vt:i4>
      </vt:variant>
      <vt:variant>
        <vt:lpwstr/>
      </vt:variant>
      <vt:variant>
        <vt:lpwstr>_Toc367368440</vt:lpwstr>
      </vt:variant>
      <vt:variant>
        <vt:i4>1638454</vt:i4>
      </vt:variant>
      <vt:variant>
        <vt:i4>8</vt:i4>
      </vt:variant>
      <vt:variant>
        <vt:i4>0</vt:i4>
      </vt:variant>
      <vt:variant>
        <vt:i4>5</vt:i4>
      </vt:variant>
      <vt:variant>
        <vt:lpwstr/>
      </vt:variant>
      <vt:variant>
        <vt:lpwstr>_Toc367368439</vt:lpwstr>
      </vt:variant>
      <vt:variant>
        <vt:i4>1638454</vt:i4>
      </vt:variant>
      <vt:variant>
        <vt:i4>2</vt:i4>
      </vt:variant>
      <vt:variant>
        <vt:i4>0</vt:i4>
      </vt:variant>
      <vt:variant>
        <vt:i4>5</vt:i4>
      </vt:variant>
      <vt:variant>
        <vt:lpwstr/>
      </vt:variant>
      <vt:variant>
        <vt:lpwstr>_Toc367368438</vt:lpwstr>
      </vt:variant>
      <vt:variant>
        <vt:i4>1900609</vt:i4>
      </vt:variant>
      <vt:variant>
        <vt:i4>33</vt:i4>
      </vt:variant>
      <vt:variant>
        <vt:i4>0</vt:i4>
      </vt:variant>
      <vt:variant>
        <vt:i4>5</vt:i4>
      </vt:variant>
      <vt:variant>
        <vt:lpwstr>http://www.poverenik.rs/sr/o-nama/godisnji-izvestaji/1562-izvestaj-poverenika-za-2012-godinu.html</vt:lpwstr>
      </vt:variant>
      <vt:variant>
        <vt:lpwstr/>
      </vt:variant>
      <vt:variant>
        <vt:i4>593363003</vt:i4>
      </vt:variant>
      <vt:variant>
        <vt:i4>30</vt:i4>
      </vt:variant>
      <vt:variant>
        <vt:i4>0</vt:i4>
      </vt:variant>
      <vt:variant>
        <vt:i4>5</vt:i4>
      </vt:variant>
      <vt:variant>
        <vt:lpwstr>http://transparentnost.org.rs/index.php?view=details&amp;id=1392%3Aanaliza-usaglaenosti-informatora-o-radu-organa-vlasti&amp;option=com_eventlist&amp;Itemid=23〈=sr</vt:lpwstr>
      </vt:variant>
      <vt:variant>
        <vt:lpwstr/>
      </vt:variant>
      <vt:variant>
        <vt:i4>1638487</vt:i4>
      </vt:variant>
      <vt:variant>
        <vt:i4>27</vt:i4>
      </vt:variant>
      <vt:variant>
        <vt:i4>0</vt:i4>
      </vt:variant>
      <vt:variant>
        <vt:i4>5</vt:i4>
      </vt:variant>
      <vt:variant>
        <vt:lpwstr>http://www.euprava.gov.rs/eParticipacija</vt:lpwstr>
      </vt:variant>
      <vt:variant>
        <vt:lpwstr/>
      </vt:variant>
      <vt:variant>
        <vt:i4>7143535</vt:i4>
      </vt:variant>
      <vt:variant>
        <vt:i4>24</vt:i4>
      </vt:variant>
      <vt:variant>
        <vt:i4>0</vt:i4>
      </vt:variant>
      <vt:variant>
        <vt:i4>5</vt:i4>
      </vt:variant>
      <vt:variant>
        <vt:lpwstr>http://www.tanjug.rs/novosti/83573/u-izbornom-perodu-83-odsto-hitnih-javnih-nabavki-neregularno.htm</vt:lpwstr>
      </vt:variant>
      <vt:variant>
        <vt:lpwstr/>
      </vt:variant>
      <vt:variant>
        <vt:i4>917616</vt:i4>
      </vt:variant>
      <vt:variant>
        <vt:i4>21</vt:i4>
      </vt:variant>
      <vt:variant>
        <vt:i4>0</vt:i4>
      </vt:variant>
      <vt:variant>
        <vt:i4>5</vt:i4>
      </vt:variant>
      <vt:variant>
        <vt:lpwstr>http://www.ujn.gov.rs/ci/izvestaji/izvestaji_ujn</vt:lpwstr>
      </vt:variant>
      <vt:variant>
        <vt:lpwstr/>
      </vt:variant>
      <vt:variant>
        <vt:i4>3407877</vt:i4>
      </vt:variant>
      <vt:variant>
        <vt:i4>18</vt:i4>
      </vt:variant>
      <vt:variant>
        <vt:i4>0</vt:i4>
      </vt:variant>
      <vt:variant>
        <vt:i4>5</vt:i4>
      </vt:variant>
      <vt:variant>
        <vt:lpwstr>http://www.mfin.gov.rs/UserFiles/File/Registri zaposlenih/IzvestajBrojRep_za_oktobar_2012.pdf</vt:lpwstr>
      </vt:variant>
      <vt:variant>
        <vt:lpwstr/>
      </vt:variant>
      <vt:variant>
        <vt:i4>7405603</vt:i4>
      </vt:variant>
      <vt:variant>
        <vt:i4>15</vt:i4>
      </vt:variant>
      <vt:variant>
        <vt:i4>0</vt:i4>
      </vt:variant>
      <vt:variant>
        <vt:i4>5</vt:i4>
      </vt:variant>
      <vt:variant>
        <vt:lpwstr>http://www.mfin.gov.rs/pages/issue.php?id=1568</vt:lpwstr>
      </vt:variant>
      <vt:variant>
        <vt:lpwstr/>
      </vt:variant>
      <vt:variant>
        <vt:i4>4849745</vt:i4>
      </vt:variant>
      <vt:variant>
        <vt:i4>12</vt:i4>
      </vt:variant>
      <vt:variant>
        <vt:i4>0</vt:i4>
      </vt:variant>
      <vt:variant>
        <vt:i4>5</vt:i4>
      </vt:variant>
      <vt:variant>
        <vt:lpwstr>http://www.parlament.gov.rs/20._sednica_Odbora_za_privredu,_regionalni_razvoj,_trgovinu,_turizam_i_energetiku.18121.941.html</vt:lpwstr>
      </vt:variant>
      <vt:variant>
        <vt:lpwstr/>
      </vt:variant>
      <vt:variant>
        <vt:i4>5963788</vt:i4>
      </vt:variant>
      <vt:variant>
        <vt:i4>9</vt:i4>
      </vt:variant>
      <vt:variant>
        <vt:i4>0</vt:i4>
      </vt:variant>
      <vt:variant>
        <vt:i4>5</vt:i4>
      </vt:variant>
      <vt:variant>
        <vt:lpwstr>http://ujedinjeniregionisrbije.rs/o-nama/ljudi/uze-predsednistvo/</vt:lpwstr>
      </vt:variant>
      <vt:variant>
        <vt:lpwstr/>
      </vt:variant>
      <vt:variant>
        <vt:i4>1900609</vt:i4>
      </vt:variant>
      <vt:variant>
        <vt:i4>6</vt:i4>
      </vt:variant>
      <vt:variant>
        <vt:i4>0</vt:i4>
      </vt:variant>
      <vt:variant>
        <vt:i4>5</vt:i4>
      </vt:variant>
      <vt:variant>
        <vt:lpwstr>http://www.poverenik.rs/sr/o-nama/godisnji-izvestaji/1562-izvestaj-poverenika-za-2012-godinu.html</vt:lpwstr>
      </vt:variant>
      <vt:variant>
        <vt:lpwstr/>
      </vt:variant>
      <vt:variant>
        <vt:i4>458784</vt:i4>
      </vt:variant>
      <vt:variant>
        <vt:i4>3</vt:i4>
      </vt:variant>
      <vt:variant>
        <vt:i4>0</vt:i4>
      </vt:variant>
      <vt:variant>
        <vt:i4>5</vt:i4>
      </vt:variant>
      <vt:variant>
        <vt:lpwstr>http://www.euprava.gov.rs/eParticipacija/javne_rasprave/136/OGP.html</vt:lpwstr>
      </vt:variant>
      <vt:variant>
        <vt:lpwstr/>
      </vt:variant>
      <vt:variant>
        <vt:i4>590086218</vt:i4>
      </vt:variant>
      <vt:variant>
        <vt:i4>0</vt:i4>
      </vt:variant>
      <vt:variant>
        <vt:i4>0</vt:i4>
      </vt:variant>
      <vt:variant>
        <vt:i4>5</vt:i4>
      </vt:variant>
      <vt:variant>
        <vt:lpwstr>http://www.transparentnost.org.rs/index.php?view=details&amp;id=1238%3Akomentar-na-koalicioni-sporazum&amp;option=com_eventlist&amp;Itemid=23〈=sr</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dc:description/>
  <cp:lastModifiedBy>Marija</cp:lastModifiedBy>
  <cp:revision>2</cp:revision>
  <cp:lastPrinted>2013-09-20T09:59:00Z</cp:lastPrinted>
  <dcterms:created xsi:type="dcterms:W3CDTF">2013-09-20T12:32:00Z</dcterms:created>
  <dcterms:modified xsi:type="dcterms:W3CDTF">2013-09-20T12:32:00Z</dcterms:modified>
</cp:coreProperties>
</file>